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A82" w:rsidRDefault="00284A82" w:rsidP="00284A82">
      <w:pPr>
        <w:suppressLineNumbers/>
        <w:rPr>
          <w:sz w:val="26"/>
          <w:szCs w:val="26"/>
        </w:rPr>
      </w:pPr>
    </w:p>
    <w:tbl>
      <w:tblPr>
        <w:tblStyle w:val="a4"/>
        <w:bidiVisual/>
        <w:tblW w:w="9327"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9"/>
        <w:gridCol w:w="165"/>
        <w:gridCol w:w="416"/>
        <w:gridCol w:w="2791"/>
        <w:gridCol w:w="5632"/>
        <w:gridCol w:w="78"/>
        <w:gridCol w:w="166"/>
      </w:tblGrid>
      <w:tr w:rsidR="00284A82" w:rsidTr="002E3634">
        <w:trPr>
          <w:gridAfter w:val="2"/>
          <w:wAfter w:w="244" w:type="dxa"/>
          <w:trHeight w:val="571"/>
          <w:jc w:val="center"/>
        </w:trPr>
        <w:tc>
          <w:tcPr>
            <w:tcW w:w="660" w:type="dxa"/>
            <w:gridSpan w:val="3"/>
            <w:hideMark/>
          </w:tcPr>
          <w:p w:rsidR="00284A82" w:rsidRPr="002E3634" w:rsidRDefault="00284A82">
            <w:pPr>
              <w:jc w:val="both"/>
              <w:rPr>
                <w:rFonts w:ascii="Arial (W1)" w:hAnsi="Arial (W1)"/>
                <w:b/>
                <w:bCs/>
                <w:sz w:val="26"/>
                <w:szCs w:val="26"/>
              </w:rPr>
            </w:pPr>
            <w:r w:rsidRPr="002E3634">
              <w:rPr>
                <w:b/>
                <w:bCs/>
                <w:sz w:val="26"/>
                <w:szCs w:val="26"/>
                <w:rtl/>
              </w:rPr>
              <w:t xml:space="preserve">בפני </w:t>
            </w:r>
          </w:p>
        </w:tc>
        <w:tc>
          <w:tcPr>
            <w:tcW w:w="8423" w:type="dxa"/>
            <w:gridSpan w:val="2"/>
            <w:hideMark/>
          </w:tcPr>
          <w:p w:rsidR="00284A82" w:rsidRPr="002E3634" w:rsidRDefault="00284A82" w:rsidP="002E3634">
            <w:pPr>
              <w:ind w:right="5983"/>
              <w:rPr>
                <w:rFonts w:ascii="Arial" w:hAnsi="Arial"/>
                <w:b/>
                <w:bCs/>
                <w:sz w:val="26"/>
                <w:szCs w:val="26"/>
              </w:rPr>
            </w:pPr>
            <w:r w:rsidRPr="002E3634">
              <w:rPr>
                <w:rFonts w:ascii="Arial" w:hAnsi="Arial"/>
                <w:b/>
                <w:bCs/>
                <w:sz w:val="26"/>
                <w:szCs w:val="26"/>
                <w:rtl/>
              </w:rPr>
              <w:t>כבוד ה</w:t>
            </w:r>
            <w:sdt>
              <w:sdtPr>
                <w:rPr>
                  <w:sz w:val="26"/>
                  <w:szCs w:val="26"/>
                  <w:rtl/>
                </w:rPr>
                <w:alias w:val="1574"/>
                <w:tag w:val="1574"/>
                <w:id w:val="-868990752"/>
                <w:text w:multiLine="1"/>
              </w:sdtPr>
              <w:sdtEndPr/>
              <w:sdtContent>
                <w:r w:rsidRPr="002E3634">
                  <w:rPr>
                    <w:rFonts w:ascii="Arial" w:hAnsi="Arial"/>
                    <w:b/>
                    <w:bCs/>
                    <w:sz w:val="26"/>
                    <w:szCs w:val="26"/>
                    <w:rtl/>
                  </w:rPr>
                  <w:t>שופט</w:t>
                </w:r>
              </w:sdtContent>
            </w:sdt>
            <w:r w:rsidRPr="002E3634">
              <w:rPr>
                <w:rFonts w:ascii="Arial" w:hAnsi="Arial"/>
                <w:b/>
                <w:bCs/>
                <w:sz w:val="26"/>
                <w:szCs w:val="26"/>
                <w:rtl/>
              </w:rPr>
              <w:t xml:space="preserve">  </w:t>
            </w:r>
            <w:sdt>
              <w:sdtPr>
                <w:rPr>
                  <w:sz w:val="26"/>
                  <w:szCs w:val="26"/>
                  <w:rtl/>
                </w:rPr>
                <w:alias w:val="1573"/>
                <w:tag w:val="1573"/>
                <w:id w:val="407734867"/>
                <w:text w:multiLine="1"/>
              </w:sdtPr>
              <w:sdtEndPr/>
              <w:sdtContent>
                <w:r w:rsidRPr="002E3634">
                  <w:rPr>
                    <w:rFonts w:ascii="Arial" w:hAnsi="Arial"/>
                    <w:b/>
                    <w:bCs/>
                    <w:sz w:val="26"/>
                    <w:szCs w:val="26"/>
                    <w:rtl/>
                  </w:rPr>
                  <w:t>רמי בז'ה</w:t>
                </w:r>
              </w:sdtContent>
            </w:sdt>
          </w:p>
        </w:tc>
      </w:tr>
      <w:tr w:rsidR="00284A82" w:rsidTr="002E3634">
        <w:trPr>
          <w:gridBefore w:val="1"/>
          <w:gridAfter w:val="1"/>
          <w:wBefore w:w="79" w:type="dxa"/>
          <w:wAfter w:w="166" w:type="dxa"/>
          <w:trHeight w:val="906"/>
          <w:jc w:val="center"/>
        </w:trPr>
        <w:tc>
          <w:tcPr>
            <w:tcW w:w="3372" w:type="dxa"/>
            <w:gridSpan w:val="3"/>
          </w:tcPr>
          <w:p w:rsidR="00284A82" w:rsidRPr="002E3634" w:rsidRDefault="00284A82">
            <w:pPr>
              <w:bidi w:val="0"/>
              <w:rPr>
                <w:rFonts w:ascii="Arial (W1)" w:hAnsi="Arial (W1)"/>
                <w:b/>
                <w:bCs/>
                <w:noProof w:val="0"/>
                <w:sz w:val="26"/>
                <w:szCs w:val="26"/>
                <w:rtl/>
              </w:rPr>
            </w:pPr>
          </w:p>
          <w:sdt>
            <w:sdtPr>
              <w:rPr>
                <w:sz w:val="26"/>
                <w:szCs w:val="26"/>
                <w:rtl/>
              </w:rPr>
              <w:alias w:val="1180"/>
              <w:tag w:val="1180"/>
              <w:id w:val="-803768281"/>
              <w:text w:multiLine="1"/>
            </w:sdtPr>
            <w:sdtEndPr/>
            <w:sdtContent>
              <w:p w:rsidR="00284A82" w:rsidRPr="002E3634" w:rsidRDefault="005B29A7">
                <w:pPr>
                  <w:jc w:val="left"/>
                  <w:rPr>
                    <w:rFonts w:ascii="Arial (W1)" w:hAnsi="Arial (W1)"/>
                    <w:b/>
                    <w:bCs/>
                    <w:noProof w:val="0"/>
                    <w:sz w:val="26"/>
                    <w:szCs w:val="26"/>
                    <w:rtl/>
                  </w:rPr>
                </w:pPr>
                <w:r w:rsidRPr="002E3634">
                  <w:rPr>
                    <w:b/>
                    <w:bCs/>
                    <w:noProof w:val="0"/>
                    <w:sz w:val="26"/>
                    <w:szCs w:val="26"/>
                    <w:rtl/>
                  </w:rPr>
                  <w:t>תובע</w:t>
                </w:r>
              </w:p>
            </w:sdtContent>
          </w:sdt>
        </w:tc>
        <w:tc>
          <w:tcPr>
            <w:tcW w:w="5710" w:type="dxa"/>
            <w:gridSpan w:val="2"/>
          </w:tcPr>
          <w:p w:rsidR="00284A82" w:rsidRPr="002E3634" w:rsidRDefault="00284A82">
            <w:pPr>
              <w:rPr>
                <w:rFonts w:ascii="Arial (W1)" w:hAnsi="Arial (W1)"/>
                <w:b/>
                <w:bCs/>
                <w:noProof w:val="0"/>
                <w:sz w:val="26"/>
                <w:szCs w:val="26"/>
              </w:rPr>
            </w:pPr>
          </w:p>
          <w:p w:rsidR="00284A82" w:rsidRPr="002E3634" w:rsidRDefault="002E3634" w:rsidP="002E3634">
            <w:pPr>
              <w:ind w:right="3006"/>
              <w:jc w:val="left"/>
              <w:rPr>
                <w:rFonts w:ascii="Arial (W1)" w:hAnsi="Arial (W1)"/>
                <w:b/>
                <w:bCs/>
                <w:noProof w:val="0"/>
                <w:sz w:val="26"/>
                <w:szCs w:val="26"/>
                <w:rtl/>
              </w:rPr>
            </w:pPr>
            <w:r w:rsidRPr="002E3634">
              <w:rPr>
                <w:rFonts w:hint="cs"/>
                <w:b/>
                <w:bCs/>
                <w:noProof w:val="0"/>
                <w:sz w:val="26"/>
                <w:szCs w:val="26"/>
                <w:rtl/>
              </w:rPr>
              <w:t>ש.ל.</w:t>
            </w:r>
          </w:p>
          <w:p w:rsidR="00284A82" w:rsidRPr="002E3634" w:rsidRDefault="00284A82">
            <w:pPr>
              <w:jc w:val="left"/>
              <w:rPr>
                <w:rFonts w:ascii="Arial (W1)" w:hAnsi="Arial (W1)"/>
                <w:b/>
                <w:bCs/>
                <w:noProof w:val="0"/>
                <w:sz w:val="26"/>
                <w:szCs w:val="26"/>
                <w:rtl/>
              </w:rPr>
            </w:pPr>
            <w:r w:rsidRPr="002E3634">
              <w:rPr>
                <w:rFonts w:ascii="Arial (W1)" w:hAnsi="Arial (W1)"/>
                <w:b/>
                <w:bCs/>
                <w:noProof w:val="0"/>
                <w:sz w:val="26"/>
                <w:szCs w:val="26"/>
                <w:rtl/>
              </w:rPr>
              <w:t>ע"י ב"כ עו"ד אורן גולן</w:t>
            </w:r>
          </w:p>
        </w:tc>
      </w:tr>
      <w:tr w:rsidR="00284A82" w:rsidTr="002E3634">
        <w:trPr>
          <w:gridBefore w:val="2"/>
          <w:wBefore w:w="244" w:type="dxa"/>
          <w:trHeight w:val="891"/>
          <w:jc w:val="center"/>
        </w:trPr>
        <w:tc>
          <w:tcPr>
            <w:tcW w:w="9083" w:type="dxa"/>
            <w:gridSpan w:val="5"/>
          </w:tcPr>
          <w:p w:rsidR="00284A82" w:rsidRPr="002E3634" w:rsidRDefault="00284A82">
            <w:pPr>
              <w:rPr>
                <w:rFonts w:ascii="Arial (W1)" w:hAnsi="Arial (W1)"/>
                <w:b/>
                <w:bCs/>
                <w:noProof w:val="0"/>
                <w:sz w:val="26"/>
                <w:szCs w:val="26"/>
              </w:rPr>
            </w:pPr>
          </w:p>
          <w:p w:rsidR="00284A82" w:rsidRPr="002E3634" w:rsidRDefault="00284A82">
            <w:pPr>
              <w:jc w:val="center"/>
              <w:rPr>
                <w:b/>
                <w:bCs/>
                <w:noProof w:val="0"/>
                <w:sz w:val="26"/>
                <w:szCs w:val="26"/>
                <w:rtl/>
              </w:rPr>
            </w:pPr>
            <w:r w:rsidRPr="002E3634">
              <w:rPr>
                <w:b/>
                <w:bCs/>
                <w:noProof w:val="0"/>
                <w:sz w:val="26"/>
                <w:szCs w:val="26"/>
                <w:rtl/>
              </w:rPr>
              <w:t>נגד</w:t>
            </w:r>
          </w:p>
          <w:p w:rsidR="00284A82" w:rsidRPr="002E3634" w:rsidRDefault="00284A82">
            <w:pPr>
              <w:rPr>
                <w:rFonts w:ascii="Arial (W1)" w:hAnsi="Arial (W1)"/>
                <w:b/>
                <w:bCs/>
                <w:noProof w:val="0"/>
                <w:sz w:val="26"/>
                <w:szCs w:val="26"/>
                <w:rtl/>
              </w:rPr>
            </w:pPr>
          </w:p>
        </w:tc>
      </w:tr>
      <w:tr w:rsidR="00284A82" w:rsidTr="002E3634">
        <w:trPr>
          <w:gridBefore w:val="1"/>
          <w:gridAfter w:val="1"/>
          <w:wBefore w:w="79" w:type="dxa"/>
          <w:wAfter w:w="166" w:type="dxa"/>
          <w:trHeight w:val="1184"/>
          <w:jc w:val="center"/>
        </w:trPr>
        <w:tc>
          <w:tcPr>
            <w:tcW w:w="3372" w:type="dxa"/>
            <w:gridSpan w:val="3"/>
          </w:tcPr>
          <w:p w:rsidR="00284A82" w:rsidRPr="002E3634" w:rsidRDefault="00284A82">
            <w:pPr>
              <w:rPr>
                <w:rFonts w:ascii="Arial (W1)" w:hAnsi="Arial (W1)"/>
                <w:b/>
                <w:bCs/>
                <w:noProof w:val="0"/>
                <w:sz w:val="26"/>
                <w:szCs w:val="26"/>
              </w:rPr>
            </w:pPr>
          </w:p>
          <w:p w:rsidR="00284A82" w:rsidRPr="002E3634" w:rsidRDefault="00BB6741" w:rsidP="00B94107">
            <w:pPr>
              <w:ind w:right="2222"/>
              <w:rPr>
                <w:rFonts w:ascii="Arial (W1)" w:hAnsi="Arial (W1)"/>
                <w:b/>
                <w:bCs/>
                <w:noProof w:val="0"/>
                <w:sz w:val="26"/>
                <w:szCs w:val="26"/>
                <w:rtl/>
              </w:rPr>
            </w:pPr>
            <w:sdt>
              <w:sdtPr>
                <w:rPr>
                  <w:sz w:val="26"/>
                  <w:szCs w:val="26"/>
                  <w:rtl/>
                </w:rPr>
                <w:alias w:val="1184"/>
                <w:tag w:val="1184"/>
                <w:id w:val="-910234160"/>
                <w:text w:multiLine="1"/>
              </w:sdtPr>
              <w:sdtEndPr/>
              <w:sdtContent>
                <w:r w:rsidR="00B94107" w:rsidRPr="002E3634">
                  <w:rPr>
                    <w:rFonts w:hint="cs"/>
                    <w:b/>
                    <w:bCs/>
                    <w:noProof w:val="0"/>
                    <w:sz w:val="26"/>
                    <w:szCs w:val="26"/>
                    <w:rtl/>
                  </w:rPr>
                  <w:t xml:space="preserve">  </w:t>
                </w:r>
                <w:r w:rsidR="00284A82" w:rsidRPr="002E3634">
                  <w:rPr>
                    <w:b/>
                    <w:bCs/>
                    <w:noProof w:val="0"/>
                    <w:sz w:val="26"/>
                    <w:szCs w:val="26"/>
                    <w:rtl/>
                  </w:rPr>
                  <w:t>נתבעים</w:t>
                </w:r>
              </w:sdtContent>
            </w:sdt>
          </w:p>
        </w:tc>
        <w:tc>
          <w:tcPr>
            <w:tcW w:w="5710" w:type="dxa"/>
            <w:gridSpan w:val="2"/>
          </w:tcPr>
          <w:p w:rsidR="00284A82" w:rsidRPr="002E3634" w:rsidRDefault="00284A82">
            <w:pPr>
              <w:rPr>
                <w:rFonts w:ascii="Arial (W1)" w:hAnsi="Arial (W1)"/>
                <w:b/>
                <w:bCs/>
                <w:noProof w:val="0"/>
                <w:sz w:val="26"/>
                <w:szCs w:val="26"/>
              </w:rPr>
            </w:pPr>
          </w:p>
          <w:p w:rsidR="00284A82" w:rsidRPr="002E3634" w:rsidRDefault="007B1396" w:rsidP="002E3634">
            <w:pPr>
              <w:tabs>
                <w:tab w:val="left" w:pos="2186"/>
              </w:tabs>
              <w:ind w:right="2581"/>
              <w:jc w:val="left"/>
              <w:rPr>
                <w:rFonts w:ascii="Arial (W1)" w:hAnsi="Arial (W1)"/>
                <w:b/>
                <w:bCs/>
                <w:noProof w:val="0"/>
                <w:sz w:val="26"/>
                <w:szCs w:val="26"/>
                <w:rtl/>
              </w:rPr>
            </w:pPr>
            <w:r w:rsidRPr="002E3634">
              <w:rPr>
                <w:rFonts w:hint="cs"/>
                <w:b/>
                <w:bCs/>
                <w:noProof w:val="0"/>
                <w:sz w:val="26"/>
                <w:szCs w:val="26"/>
                <w:rtl/>
              </w:rPr>
              <w:t>1</w:t>
            </w:r>
            <w:r w:rsidR="00284A82" w:rsidRPr="002E3634">
              <w:rPr>
                <w:b/>
                <w:bCs/>
                <w:noProof w:val="0"/>
                <w:sz w:val="26"/>
                <w:szCs w:val="26"/>
                <w:rtl/>
              </w:rPr>
              <w:t>.</w:t>
            </w:r>
            <w:r w:rsidR="002E3634">
              <w:rPr>
                <w:rFonts w:hint="cs"/>
                <w:b/>
                <w:bCs/>
                <w:noProof w:val="0"/>
                <w:sz w:val="26"/>
                <w:szCs w:val="26"/>
                <w:rtl/>
              </w:rPr>
              <w:t xml:space="preserve"> </w:t>
            </w:r>
            <w:r w:rsidR="00284A82" w:rsidRPr="002E3634">
              <w:rPr>
                <w:b/>
                <w:bCs/>
                <w:noProof w:val="0"/>
                <w:sz w:val="26"/>
                <w:szCs w:val="26"/>
                <w:rtl/>
              </w:rPr>
              <w:t>נ</w:t>
            </w:r>
            <w:sdt>
              <w:sdtPr>
                <w:rPr>
                  <w:b/>
                  <w:bCs/>
                  <w:noProof w:val="0"/>
                  <w:sz w:val="26"/>
                  <w:szCs w:val="26"/>
                  <w:rtl/>
                </w:rPr>
                <w:alias w:val="2317"/>
                <w:tag w:val="2317"/>
                <w:id w:val="1321767079"/>
                <w:placeholder>
                  <w:docPart w:val="A39885C5D0374681BC1529EE1E74DD65"/>
                </w:placeholder>
                <w:text w:multiLine="1"/>
              </w:sdtPr>
              <w:sdtEndPr/>
              <w:sdtContent>
                <w:r w:rsidR="002E3634" w:rsidRPr="002E3634">
                  <w:rPr>
                    <w:rFonts w:hint="cs"/>
                    <w:b/>
                    <w:bCs/>
                    <w:noProof w:val="0"/>
                    <w:sz w:val="26"/>
                    <w:szCs w:val="26"/>
                    <w:rtl/>
                  </w:rPr>
                  <w:t>.ז</w:t>
                </w:r>
              </w:sdtContent>
            </w:sdt>
            <w:r w:rsidR="002E3634" w:rsidRPr="002E3634">
              <w:rPr>
                <w:rFonts w:ascii="Arial (W1)" w:hAnsi="Arial (W1)" w:hint="cs"/>
                <w:b/>
                <w:bCs/>
                <w:noProof w:val="0"/>
                <w:sz w:val="26"/>
                <w:szCs w:val="26"/>
                <w:rtl/>
              </w:rPr>
              <w:t>.</w:t>
            </w:r>
          </w:p>
          <w:p w:rsidR="00284A82" w:rsidRPr="002E3634" w:rsidRDefault="002E3634" w:rsidP="002E3634">
            <w:pPr>
              <w:ind w:right="4677"/>
              <w:jc w:val="left"/>
              <w:rPr>
                <w:rFonts w:ascii="Arial (W1)" w:hAnsi="Arial (W1)"/>
                <w:b/>
                <w:bCs/>
                <w:noProof w:val="0"/>
                <w:sz w:val="26"/>
                <w:szCs w:val="26"/>
              </w:rPr>
            </w:pPr>
            <w:r>
              <w:rPr>
                <w:rFonts w:hint="cs"/>
                <w:b/>
                <w:bCs/>
                <w:noProof w:val="0"/>
                <w:sz w:val="26"/>
                <w:szCs w:val="26"/>
                <w:rtl/>
              </w:rPr>
              <w:t>2</w:t>
            </w:r>
            <w:r w:rsidRPr="002E3634">
              <w:rPr>
                <w:rFonts w:hint="cs"/>
                <w:b/>
                <w:bCs/>
                <w:noProof w:val="0"/>
                <w:sz w:val="26"/>
                <w:szCs w:val="26"/>
                <w:rtl/>
              </w:rPr>
              <w:t>. ס.ש</w:t>
            </w:r>
            <w:r>
              <w:rPr>
                <w:rFonts w:ascii="Arial (W1)" w:hAnsi="Arial (W1)" w:hint="cs"/>
                <w:b/>
                <w:bCs/>
                <w:noProof w:val="0"/>
                <w:sz w:val="26"/>
                <w:szCs w:val="26"/>
                <w:rtl/>
              </w:rPr>
              <w:t>.</w:t>
            </w:r>
          </w:p>
          <w:p w:rsidR="00284A82" w:rsidRPr="002E3634" w:rsidRDefault="00284A82">
            <w:pPr>
              <w:jc w:val="left"/>
              <w:rPr>
                <w:rFonts w:ascii="Arial (W1)" w:hAnsi="Arial (W1)"/>
                <w:b/>
                <w:bCs/>
                <w:noProof w:val="0"/>
                <w:sz w:val="26"/>
                <w:szCs w:val="26"/>
                <w:rtl/>
              </w:rPr>
            </w:pPr>
            <w:r w:rsidRPr="002E3634">
              <w:rPr>
                <w:rFonts w:ascii="Arial (W1)" w:hAnsi="Arial (W1)"/>
                <w:b/>
                <w:bCs/>
                <w:noProof w:val="0"/>
                <w:sz w:val="26"/>
                <w:szCs w:val="26"/>
                <w:rtl/>
              </w:rPr>
              <w:t xml:space="preserve">ע"י ב"כ עו"ד צחי </w:t>
            </w:r>
            <w:proofErr w:type="spellStart"/>
            <w:r w:rsidRPr="002E3634">
              <w:rPr>
                <w:rFonts w:ascii="Arial (W1)" w:hAnsi="Arial (W1)"/>
                <w:b/>
                <w:bCs/>
                <w:noProof w:val="0"/>
                <w:sz w:val="26"/>
                <w:szCs w:val="26"/>
                <w:rtl/>
              </w:rPr>
              <w:t>לסרי</w:t>
            </w:r>
            <w:proofErr w:type="spellEnd"/>
          </w:p>
        </w:tc>
      </w:tr>
      <w:tr w:rsidR="00284A82" w:rsidTr="002E3634">
        <w:trPr>
          <w:gridBefore w:val="2"/>
          <w:wBefore w:w="244" w:type="dxa"/>
          <w:trHeight w:val="335"/>
          <w:jc w:val="center"/>
        </w:trPr>
        <w:tc>
          <w:tcPr>
            <w:tcW w:w="9083" w:type="dxa"/>
            <w:gridSpan w:val="5"/>
          </w:tcPr>
          <w:p w:rsidR="00284A82" w:rsidRPr="002E3634" w:rsidRDefault="00284A82">
            <w:pPr>
              <w:rPr>
                <w:rFonts w:ascii="Arial (W1)" w:hAnsi="Arial (W1)"/>
                <w:b/>
                <w:bCs/>
                <w:noProof w:val="0"/>
                <w:sz w:val="26"/>
                <w:szCs w:val="26"/>
              </w:rPr>
            </w:pPr>
          </w:p>
        </w:tc>
      </w:tr>
      <w:tr w:rsidR="00284A82" w:rsidTr="002E3634">
        <w:trPr>
          <w:gridBefore w:val="1"/>
          <w:gridAfter w:val="1"/>
          <w:wBefore w:w="79" w:type="dxa"/>
          <w:wAfter w:w="166" w:type="dxa"/>
          <w:trHeight w:val="306"/>
          <w:jc w:val="center"/>
        </w:trPr>
        <w:tc>
          <w:tcPr>
            <w:tcW w:w="3372" w:type="dxa"/>
            <w:gridSpan w:val="3"/>
          </w:tcPr>
          <w:sdt>
            <w:sdtPr>
              <w:rPr>
                <w:rFonts w:cs="Times New Roman"/>
                <w:rtl/>
              </w:rPr>
              <w:alias w:val="2335"/>
              <w:tag w:val="2335"/>
              <w:id w:val="477889483"/>
              <w:lock w:val="contentLocked"/>
              <w:placeholder>
                <w:docPart w:val="73564B07A5CF4B619E6CC5CF377FC70F"/>
              </w:placeholder>
              <w:group/>
            </w:sdtPr>
            <w:sdtEndPr/>
            <w:sdtContent>
              <w:p w:rsidR="00284A82" w:rsidRDefault="00BB6741">
                <w:pPr>
                  <w:rPr>
                    <w:rFonts w:ascii="David" w:eastAsia="David" w:hAnsi="David"/>
                    <w:noProof w:val="0"/>
                    <w:rtl/>
                  </w:rPr>
                </w:pPr>
              </w:p>
            </w:sdtContent>
          </w:sdt>
        </w:tc>
        <w:tc>
          <w:tcPr>
            <w:tcW w:w="5710" w:type="dxa"/>
            <w:gridSpan w:val="2"/>
          </w:tcPr>
          <w:sdt>
            <w:sdtPr>
              <w:rPr>
                <w:rFonts w:cs="Times New Roman" w:hint="cs"/>
                <w:rtl/>
              </w:rPr>
              <w:alias w:val="2335"/>
              <w:tag w:val="2335"/>
              <w:id w:val="1600758657"/>
              <w:lock w:val="contentLocked"/>
              <w:placeholder>
                <w:docPart w:val="73564B07A5CF4B619E6CC5CF377FC70F"/>
              </w:placeholder>
              <w:group/>
            </w:sdtPr>
            <w:sdtEndPr/>
            <w:sdtContent>
              <w:p w:rsidR="00284A82" w:rsidRDefault="00BB6741">
                <w:pPr>
                  <w:rPr>
                    <w:rFonts w:cs="Times New Roman"/>
                  </w:rPr>
                </w:pPr>
              </w:p>
            </w:sdtContent>
          </w:sdt>
        </w:tc>
      </w:tr>
    </w:tbl>
    <w:p w:rsidR="00284A82" w:rsidRDefault="00284A82" w:rsidP="00284A82">
      <w:pPr>
        <w:suppressLineNumbers/>
        <w:rPr>
          <w:rFonts w:ascii="Arial (W1)" w:hAnsi="Arial (W1)"/>
          <w:sz w:val="28"/>
          <w:szCs w:val="28"/>
        </w:rPr>
      </w:pPr>
    </w:p>
    <w:p w:rsidR="00284A82" w:rsidRDefault="00284A82" w:rsidP="00284A82">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84A82" w:rsidTr="00284A82">
        <w:trPr>
          <w:jc w:val="center"/>
        </w:trPr>
        <w:tc>
          <w:tcPr>
            <w:tcW w:w="8820" w:type="dxa"/>
            <w:hideMark/>
          </w:tcPr>
          <w:p w:rsidR="00284A82" w:rsidRDefault="00284A8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84A82" w:rsidRDefault="00284A82" w:rsidP="00D551BE">
      <w:pPr>
        <w:suppressLineNumbers/>
        <w:spacing w:line="360" w:lineRule="auto"/>
        <w:jc w:val="both"/>
        <w:rPr>
          <w:rFonts w:ascii="Arial" w:hAnsi="Arial"/>
          <w:noProof w:val="0"/>
        </w:rPr>
      </w:pPr>
    </w:p>
    <w:p w:rsidR="00284A82" w:rsidRDefault="00284A82" w:rsidP="00284A82">
      <w:pPr>
        <w:spacing w:line="360" w:lineRule="auto"/>
        <w:jc w:val="both"/>
        <w:rPr>
          <w:rFonts w:ascii="Arial" w:hAnsi="Arial"/>
          <w:noProof w:val="0"/>
          <w:rtl/>
        </w:rPr>
      </w:pPr>
      <w:r>
        <w:rPr>
          <w:rFonts w:ascii="Arial" w:hAnsi="Arial"/>
          <w:noProof w:val="0"/>
          <w:rtl/>
        </w:rPr>
        <w:t xml:space="preserve">לפניי שתי תביעות שהגיש התובע כנגד הנתבעים: </w:t>
      </w:r>
    </w:p>
    <w:p w:rsidR="00284A82" w:rsidRDefault="00284A82" w:rsidP="00284A82">
      <w:pPr>
        <w:spacing w:line="360" w:lineRule="auto"/>
        <w:jc w:val="both"/>
        <w:rPr>
          <w:rFonts w:ascii="Arial" w:hAnsi="Arial"/>
          <w:noProof w:val="0"/>
        </w:rPr>
      </w:pPr>
    </w:p>
    <w:p w:rsidR="00284A82" w:rsidRDefault="00284A82" w:rsidP="00D11BBD">
      <w:pPr>
        <w:spacing w:line="360" w:lineRule="auto"/>
        <w:jc w:val="both"/>
        <w:rPr>
          <w:rFonts w:ascii="Arial" w:hAnsi="Arial"/>
          <w:noProof w:val="0"/>
          <w:rtl/>
        </w:rPr>
      </w:pPr>
      <w:proofErr w:type="spellStart"/>
      <w:r>
        <w:rPr>
          <w:rFonts w:ascii="Arial" w:hAnsi="Arial"/>
          <w:b/>
          <w:bCs/>
          <w:noProof w:val="0"/>
          <w:u w:val="single"/>
          <w:rtl/>
        </w:rPr>
        <w:t>תמ"ש</w:t>
      </w:r>
      <w:proofErr w:type="spellEnd"/>
      <w:r>
        <w:rPr>
          <w:rFonts w:ascii="Arial" w:hAnsi="Arial"/>
          <w:b/>
          <w:bCs/>
          <w:noProof w:val="0"/>
          <w:u w:val="single"/>
          <w:rtl/>
        </w:rPr>
        <w:t xml:space="preserve"> 31863-11-20 –</w:t>
      </w:r>
      <w:r>
        <w:rPr>
          <w:rFonts w:ascii="Arial" w:hAnsi="Arial"/>
          <w:noProof w:val="0"/>
          <w:rtl/>
        </w:rPr>
        <w:t xml:space="preserve"> תביעה כספית בסך 667,931 ₪ שעניינה כספי פוליסת ביטוח מנהלים ע"ש אמם המנוחה של הנתבעים, הגב' </w:t>
      </w:r>
      <w:r w:rsidR="00D11BBD">
        <w:rPr>
          <w:rFonts w:ascii="Arial" w:hAnsi="Arial" w:hint="cs"/>
          <w:noProof w:val="0"/>
        </w:rPr>
        <w:t>XXX</w:t>
      </w:r>
      <w:r>
        <w:rPr>
          <w:rFonts w:ascii="Arial" w:hAnsi="Arial"/>
          <w:noProof w:val="0"/>
          <w:rtl/>
        </w:rPr>
        <w:t xml:space="preserve"> ז"ל (להלן: </w:t>
      </w:r>
      <w:r>
        <w:rPr>
          <w:rFonts w:ascii="Arial" w:hAnsi="Arial"/>
          <w:b/>
          <w:bCs/>
          <w:noProof w:val="0"/>
          <w:rtl/>
        </w:rPr>
        <w:t>"המנוחה"</w:t>
      </w:r>
      <w:r>
        <w:rPr>
          <w:rFonts w:ascii="Arial" w:hAnsi="Arial"/>
          <w:noProof w:val="0"/>
          <w:rtl/>
        </w:rPr>
        <w:t xml:space="preserve">), בחברת הביטוח מגדל, אשר שולמו לנתבעים לאחר פטירת המנוחה. </w:t>
      </w:r>
    </w:p>
    <w:p w:rsidR="00284A82" w:rsidRDefault="00284A82" w:rsidP="00284A82">
      <w:pPr>
        <w:spacing w:line="360" w:lineRule="auto"/>
        <w:jc w:val="both"/>
        <w:rPr>
          <w:rFonts w:ascii="Arial" w:hAnsi="Arial"/>
          <w:noProof w:val="0"/>
          <w:rtl/>
        </w:rPr>
      </w:pPr>
      <w:r>
        <w:rPr>
          <w:rFonts w:ascii="Arial" w:hAnsi="Arial"/>
          <w:noProof w:val="0"/>
          <w:rtl/>
        </w:rPr>
        <w:t>במסגרת תובענה זו עתר התובע לחייב את הנתבעים לשלם לו את הסך הנ"ל (להלן: "</w:t>
      </w:r>
      <w:r>
        <w:rPr>
          <w:rFonts w:ascii="Arial" w:hAnsi="Arial"/>
          <w:b/>
          <w:bCs/>
          <w:noProof w:val="0"/>
          <w:rtl/>
        </w:rPr>
        <w:t>התביעה הכספית</w:t>
      </w:r>
      <w:r>
        <w:rPr>
          <w:rFonts w:ascii="Arial" w:hAnsi="Arial"/>
          <w:noProof w:val="0"/>
          <w:rtl/>
        </w:rPr>
        <w:t>").</w:t>
      </w:r>
    </w:p>
    <w:p w:rsidR="00284A82" w:rsidRDefault="00284A82" w:rsidP="00284A82">
      <w:pPr>
        <w:spacing w:line="360" w:lineRule="auto"/>
        <w:jc w:val="both"/>
        <w:rPr>
          <w:rFonts w:ascii="Arial" w:hAnsi="Arial"/>
          <w:noProof w:val="0"/>
          <w:rtl/>
        </w:rPr>
      </w:pPr>
    </w:p>
    <w:p w:rsidR="00284A82" w:rsidRDefault="00284A82" w:rsidP="00D11BBD">
      <w:pPr>
        <w:spacing w:line="360" w:lineRule="auto"/>
        <w:jc w:val="both"/>
        <w:rPr>
          <w:rFonts w:ascii="Arial" w:hAnsi="Arial"/>
          <w:noProof w:val="0"/>
          <w:rtl/>
        </w:rPr>
      </w:pPr>
      <w:proofErr w:type="spellStart"/>
      <w:r>
        <w:rPr>
          <w:rFonts w:ascii="Arial" w:hAnsi="Arial"/>
          <w:b/>
          <w:bCs/>
          <w:noProof w:val="0"/>
          <w:u w:val="single"/>
          <w:rtl/>
        </w:rPr>
        <w:t>תמ"ש</w:t>
      </w:r>
      <w:proofErr w:type="spellEnd"/>
      <w:r>
        <w:rPr>
          <w:rFonts w:ascii="Arial" w:hAnsi="Arial"/>
          <w:b/>
          <w:bCs/>
          <w:noProof w:val="0"/>
          <w:u w:val="single"/>
          <w:rtl/>
        </w:rPr>
        <w:t xml:space="preserve"> 31905-11-20 –</w:t>
      </w:r>
      <w:r>
        <w:rPr>
          <w:rFonts w:ascii="Arial" w:hAnsi="Arial"/>
          <w:noProof w:val="0"/>
          <w:rtl/>
        </w:rPr>
        <w:t xml:space="preserve"> תביעה לצו עשה שעניינה דירת מגורים ברח' </w:t>
      </w:r>
      <w:r w:rsidR="00D11BBD">
        <w:rPr>
          <w:rFonts w:ascii="Arial" w:hAnsi="Arial" w:hint="cs"/>
          <w:noProof w:val="0"/>
        </w:rPr>
        <w:t>XXX</w:t>
      </w:r>
      <w:r>
        <w:rPr>
          <w:rFonts w:ascii="Arial" w:hAnsi="Arial"/>
          <w:noProof w:val="0"/>
          <w:rtl/>
        </w:rPr>
        <w:t xml:space="preserve"> (להלן: "</w:t>
      </w:r>
      <w:r>
        <w:rPr>
          <w:rFonts w:ascii="Arial" w:hAnsi="Arial"/>
          <w:b/>
          <w:bCs/>
          <w:noProof w:val="0"/>
          <w:rtl/>
        </w:rPr>
        <w:t>הדירה</w:t>
      </w:r>
      <w:r>
        <w:rPr>
          <w:rFonts w:ascii="Arial" w:hAnsi="Arial"/>
          <w:noProof w:val="0"/>
          <w:rtl/>
        </w:rPr>
        <w:t xml:space="preserve">"). במסגרת תובענה זו עתר התובע </w:t>
      </w:r>
      <w:proofErr w:type="spellStart"/>
      <w:r>
        <w:rPr>
          <w:rFonts w:ascii="Arial" w:hAnsi="Arial"/>
          <w:noProof w:val="0"/>
          <w:rtl/>
        </w:rPr>
        <w:t>ליתן</w:t>
      </w:r>
      <w:proofErr w:type="spellEnd"/>
      <w:r>
        <w:rPr>
          <w:rFonts w:ascii="Arial" w:hAnsi="Arial"/>
          <w:noProof w:val="0"/>
          <w:rtl/>
        </w:rPr>
        <w:t xml:space="preserve"> צו עשה המתיר לו למכור את הדירה ולרכוש דירה אחרת תחתיה והמחייב את הנתבעים לחתום על כל מסמך שיידרש לצורך כך.</w:t>
      </w:r>
    </w:p>
    <w:p w:rsidR="00284A82" w:rsidRDefault="00284A82" w:rsidP="00284A82">
      <w:pPr>
        <w:spacing w:line="360" w:lineRule="auto"/>
        <w:jc w:val="both"/>
        <w:rPr>
          <w:rFonts w:ascii="Arial" w:hAnsi="Arial"/>
          <w:noProof w:val="0"/>
          <w:rtl/>
        </w:rPr>
      </w:pPr>
      <w:r>
        <w:rPr>
          <w:rFonts w:ascii="Arial" w:hAnsi="Arial"/>
          <w:noProof w:val="0"/>
          <w:rtl/>
        </w:rPr>
        <w:t>(להלן: "</w:t>
      </w:r>
      <w:r>
        <w:rPr>
          <w:rFonts w:ascii="Arial" w:hAnsi="Arial"/>
          <w:b/>
          <w:bCs/>
          <w:noProof w:val="0"/>
          <w:rtl/>
        </w:rPr>
        <w:t>התביעה לצו עשה</w:t>
      </w:r>
      <w:r>
        <w:rPr>
          <w:rFonts w:ascii="Arial" w:hAnsi="Arial"/>
          <w:noProof w:val="0"/>
          <w:rtl/>
        </w:rPr>
        <w:t>").</w:t>
      </w:r>
    </w:p>
    <w:p w:rsidR="00284A82" w:rsidRDefault="00284A82" w:rsidP="00284A82">
      <w:pPr>
        <w:spacing w:line="360" w:lineRule="auto"/>
        <w:jc w:val="both"/>
        <w:rPr>
          <w:rFonts w:ascii="Arial" w:hAnsi="Arial"/>
          <w:noProof w:val="0"/>
          <w:rtl/>
        </w:rPr>
      </w:pPr>
    </w:p>
    <w:p w:rsidR="00284A82" w:rsidRDefault="00284A82" w:rsidP="00284A82">
      <w:pPr>
        <w:spacing w:line="360" w:lineRule="auto"/>
        <w:ind w:left="-284"/>
        <w:jc w:val="both"/>
        <w:rPr>
          <w:rFonts w:ascii="Arial" w:hAnsi="Arial"/>
          <w:b/>
          <w:bCs/>
          <w:noProof w:val="0"/>
          <w:sz w:val="28"/>
          <w:szCs w:val="28"/>
          <w:u w:val="single"/>
          <w:rtl/>
        </w:rPr>
      </w:pPr>
      <w:r>
        <w:rPr>
          <w:rFonts w:ascii="Arial" w:hAnsi="Arial"/>
          <w:b/>
          <w:bCs/>
          <w:noProof w:val="0"/>
          <w:sz w:val="28"/>
          <w:szCs w:val="28"/>
          <w:u w:val="single"/>
          <w:rtl/>
        </w:rPr>
        <w:t>העובדות בתמצית</w:t>
      </w:r>
    </w:p>
    <w:p w:rsidR="00284A82" w:rsidRDefault="00284A82" w:rsidP="00284A82">
      <w:pPr>
        <w:spacing w:line="360" w:lineRule="auto"/>
        <w:ind w:left="-284"/>
        <w:jc w:val="both"/>
        <w:rPr>
          <w:rFonts w:ascii="Arial" w:hAnsi="Arial"/>
          <w:b/>
          <w:bCs/>
          <w:noProof w:val="0"/>
          <w:sz w:val="28"/>
          <w:szCs w:val="28"/>
          <w:u w:val="single"/>
          <w:rtl/>
        </w:rPr>
      </w:pPr>
    </w:p>
    <w:p w:rsidR="00284A82" w:rsidRDefault="00284A82" w:rsidP="00D11BBD">
      <w:pPr>
        <w:pStyle w:val="a3"/>
        <w:numPr>
          <w:ilvl w:val="0"/>
          <w:numId w:val="1"/>
        </w:numPr>
        <w:spacing w:line="360" w:lineRule="auto"/>
        <w:ind w:left="425"/>
        <w:jc w:val="both"/>
        <w:rPr>
          <w:rFonts w:ascii="Arial" w:hAnsi="Arial"/>
          <w:noProof w:val="0"/>
          <w:rtl/>
        </w:rPr>
      </w:pPr>
      <w:r>
        <w:rPr>
          <w:rFonts w:ascii="Arial" w:hAnsi="Arial"/>
          <w:noProof w:val="0"/>
          <w:rtl/>
        </w:rPr>
        <w:lastRenderedPageBreak/>
        <w:t>התובע והמנוחה (להלן: "</w:t>
      </w:r>
      <w:r>
        <w:rPr>
          <w:rFonts w:ascii="Arial" w:hAnsi="Arial"/>
          <w:b/>
          <w:bCs/>
          <w:noProof w:val="0"/>
          <w:rtl/>
        </w:rPr>
        <w:t>בני הזוג</w:t>
      </w:r>
      <w:r>
        <w:rPr>
          <w:rFonts w:ascii="Arial" w:hAnsi="Arial"/>
          <w:noProof w:val="0"/>
          <w:rtl/>
        </w:rPr>
        <w:t xml:space="preserve">") חיו כידועים בציבור עד לפטירת המנוחה ממחלה קשה ביום </w:t>
      </w:r>
      <w:r w:rsidR="00D11BBD">
        <w:rPr>
          <w:rFonts w:ascii="Arial" w:hAnsi="Arial" w:hint="cs"/>
          <w:noProof w:val="0"/>
        </w:rPr>
        <w:t>XXX</w:t>
      </w:r>
      <w:r>
        <w:rPr>
          <w:rFonts w:ascii="Arial" w:hAnsi="Arial"/>
          <w:noProof w:val="0"/>
          <w:rtl/>
        </w:rPr>
        <w:t>. הנתבעים 1-2 הינם ילדיה של המנוחה מנישואין קודמים. גם לתובע ילדים מנישואיו הקודמים.</w:t>
      </w:r>
    </w:p>
    <w:p w:rsidR="00284A82" w:rsidRDefault="00284A82" w:rsidP="00284A82">
      <w:pPr>
        <w:pStyle w:val="a3"/>
        <w:spacing w:line="360" w:lineRule="auto"/>
        <w:ind w:left="425"/>
        <w:jc w:val="both"/>
        <w:rPr>
          <w:rFonts w:ascii="Arial" w:hAnsi="Arial"/>
          <w:noProof w:val="0"/>
          <w:rtl/>
        </w:rPr>
      </w:pPr>
    </w:p>
    <w:p w:rsidR="00284A82" w:rsidRDefault="00284A82" w:rsidP="00D11BBD">
      <w:pPr>
        <w:pStyle w:val="a3"/>
        <w:numPr>
          <w:ilvl w:val="0"/>
          <w:numId w:val="1"/>
        </w:numPr>
        <w:spacing w:line="360" w:lineRule="auto"/>
        <w:ind w:left="425"/>
        <w:jc w:val="both"/>
        <w:rPr>
          <w:rFonts w:ascii="Arial" w:hAnsi="Arial"/>
          <w:noProof w:val="0"/>
        </w:rPr>
      </w:pPr>
      <w:r>
        <w:rPr>
          <w:rFonts w:ascii="Arial" w:hAnsi="Arial"/>
          <w:noProof w:val="0"/>
          <w:rtl/>
        </w:rPr>
        <w:t xml:space="preserve">בני הזוג התגוררו יחדיו בדירתם המשותפת ברח' </w:t>
      </w:r>
      <w:r w:rsidR="00D11BBD">
        <w:rPr>
          <w:rFonts w:ascii="Arial" w:hAnsi="Arial" w:hint="cs"/>
          <w:noProof w:val="0"/>
        </w:rPr>
        <w:t>XXX</w:t>
      </w:r>
      <w:r>
        <w:rPr>
          <w:rFonts w:ascii="Arial" w:hAnsi="Arial"/>
          <w:noProof w:val="0"/>
          <w:rtl/>
        </w:rPr>
        <w:t>, וזאת עד סמוך לפטירת המנוחה כמפורט לעיל.</w:t>
      </w:r>
    </w:p>
    <w:p w:rsidR="00284A82" w:rsidRDefault="00284A82" w:rsidP="00284A82">
      <w:pPr>
        <w:pStyle w:val="a3"/>
        <w:rPr>
          <w:rFonts w:ascii="Arial" w:hAnsi="Arial"/>
          <w:noProof w:val="0"/>
        </w:rPr>
      </w:pPr>
    </w:p>
    <w:p w:rsidR="00284A82" w:rsidRDefault="00284A82" w:rsidP="00D11BBD">
      <w:pPr>
        <w:pStyle w:val="a3"/>
        <w:numPr>
          <w:ilvl w:val="0"/>
          <w:numId w:val="1"/>
        </w:numPr>
        <w:spacing w:line="360" w:lineRule="auto"/>
        <w:ind w:left="425"/>
        <w:jc w:val="both"/>
        <w:rPr>
          <w:rFonts w:ascii="Arial" w:hAnsi="Arial"/>
          <w:noProof w:val="0"/>
        </w:rPr>
      </w:pPr>
      <w:r>
        <w:rPr>
          <w:rFonts w:ascii="Arial" w:hAnsi="Arial"/>
          <w:noProof w:val="0"/>
          <w:rtl/>
        </w:rPr>
        <w:t xml:space="preserve">ביום 25/1/2018 ערכו בני הזוג צוואה בעדים במשרדו של עורך הדין </w:t>
      </w:r>
      <w:r w:rsidR="00D11BBD">
        <w:rPr>
          <w:rFonts w:ascii="Arial" w:hAnsi="Arial" w:hint="cs"/>
          <w:noProof w:val="0"/>
        </w:rPr>
        <w:t>XXX</w:t>
      </w:r>
      <w:r>
        <w:rPr>
          <w:rFonts w:ascii="Arial" w:hAnsi="Arial"/>
          <w:noProof w:val="0"/>
          <w:rtl/>
        </w:rPr>
        <w:t xml:space="preserve"> (הצוואה צורפה כנספח א' לכתבי התביעה)- להלן: "</w:t>
      </w:r>
      <w:r>
        <w:rPr>
          <w:rFonts w:ascii="Arial" w:hAnsi="Arial"/>
          <w:b/>
          <w:bCs/>
          <w:noProof w:val="0"/>
          <w:rtl/>
        </w:rPr>
        <w:t>הצוואה</w:t>
      </w:r>
      <w:r>
        <w:rPr>
          <w:rFonts w:ascii="Arial" w:hAnsi="Arial"/>
          <w:noProof w:val="0"/>
          <w:rtl/>
        </w:rPr>
        <w:t xml:space="preserve">". </w:t>
      </w:r>
    </w:p>
    <w:p w:rsidR="00284A82" w:rsidRDefault="00284A82" w:rsidP="00284A82">
      <w:pPr>
        <w:pStyle w:val="a3"/>
        <w:rPr>
          <w:rFonts w:ascii="Arial" w:hAnsi="Arial"/>
          <w:noProof w:val="0"/>
          <w:rtl/>
        </w:rPr>
      </w:pPr>
    </w:p>
    <w:p w:rsidR="00284A82" w:rsidRDefault="00284A82" w:rsidP="00284A82">
      <w:pPr>
        <w:pStyle w:val="a3"/>
        <w:numPr>
          <w:ilvl w:val="1"/>
          <w:numId w:val="1"/>
        </w:numPr>
        <w:spacing w:line="360" w:lineRule="auto"/>
        <w:jc w:val="both"/>
        <w:rPr>
          <w:rFonts w:ascii="Arial" w:hAnsi="Arial"/>
          <w:noProof w:val="0"/>
        </w:rPr>
      </w:pPr>
      <w:r>
        <w:rPr>
          <w:rFonts w:ascii="Arial" w:hAnsi="Arial"/>
          <w:noProof w:val="0"/>
          <w:rtl/>
        </w:rPr>
        <w:t>במסגרת סעיף 4 לצוואה, ציווה כל אחד מבני הזוג את חלקו בדירת המגורים לילדיו. המנוחה ציוותה את חלקה בדירה לילדיה- הנתבעים 1-2 (סע' 4ב' לצוואה), והתובע ציווה את חלקו בדירה לילדיו (סע' 4א' לצוואה).</w:t>
      </w:r>
    </w:p>
    <w:p w:rsidR="00284A82" w:rsidRDefault="00284A82" w:rsidP="00284A82">
      <w:pPr>
        <w:pStyle w:val="a3"/>
        <w:spacing w:line="360" w:lineRule="auto"/>
        <w:ind w:left="845"/>
        <w:jc w:val="both"/>
        <w:rPr>
          <w:rFonts w:ascii="Arial" w:hAnsi="Arial"/>
          <w:noProof w:val="0"/>
          <w:sz w:val="12"/>
          <w:szCs w:val="12"/>
          <w:rtl/>
        </w:rPr>
      </w:pPr>
    </w:p>
    <w:p w:rsidR="00284A82" w:rsidRDefault="00284A82" w:rsidP="00284A82">
      <w:pPr>
        <w:pStyle w:val="a3"/>
        <w:numPr>
          <w:ilvl w:val="1"/>
          <w:numId w:val="1"/>
        </w:numPr>
        <w:spacing w:line="360" w:lineRule="auto"/>
        <w:jc w:val="both"/>
        <w:rPr>
          <w:rFonts w:ascii="Arial" w:hAnsi="Arial"/>
          <w:noProof w:val="0"/>
          <w:rtl/>
        </w:rPr>
      </w:pPr>
      <w:r>
        <w:rPr>
          <w:rFonts w:ascii="Arial" w:hAnsi="Arial"/>
          <w:noProof w:val="0"/>
          <w:rtl/>
        </w:rPr>
        <w:t>בסעיף 4 ג' לצוואה נכתב כהאי לישנא:</w:t>
      </w:r>
    </w:p>
    <w:p w:rsidR="00284A82" w:rsidRDefault="00284A82" w:rsidP="00284A82">
      <w:pPr>
        <w:pStyle w:val="a3"/>
        <w:spacing w:line="360" w:lineRule="auto"/>
        <w:ind w:left="425"/>
        <w:jc w:val="both"/>
        <w:rPr>
          <w:rFonts w:ascii="Arial" w:hAnsi="Arial"/>
          <w:noProof w:val="0"/>
          <w:sz w:val="14"/>
          <w:szCs w:val="14"/>
        </w:rPr>
      </w:pPr>
    </w:p>
    <w:p w:rsidR="00284A82" w:rsidRDefault="00284A82" w:rsidP="00284A82">
      <w:pPr>
        <w:pStyle w:val="a3"/>
        <w:spacing w:line="360" w:lineRule="auto"/>
        <w:ind w:left="1701" w:right="1276" w:hanging="1276"/>
        <w:jc w:val="both"/>
        <w:rPr>
          <w:rFonts w:ascii="Arial" w:hAnsi="Arial"/>
          <w:noProof w:val="0"/>
        </w:rPr>
      </w:pPr>
      <w:r>
        <w:rPr>
          <w:rFonts w:ascii="Arial" w:hAnsi="Arial"/>
          <w:noProof w:val="0"/>
          <w:rtl/>
        </w:rPr>
        <w:t xml:space="preserve">                    " </w:t>
      </w:r>
      <w:r>
        <w:rPr>
          <w:rFonts w:ascii="Arial" w:hAnsi="Arial"/>
          <w:b/>
          <w:bCs/>
          <w:i/>
          <w:iCs/>
          <w:noProof w:val="0"/>
          <w:rtl/>
        </w:rPr>
        <w:t>אנו מצווים בזאת, כי מי משנינו שיוותר בחיים, לאחר פטירת מי מאתנו, יהא זכאי להתגורר ולחיות בדירת המגורים לרבות, כל התכולה שבה, כל ימי חייו, ללא תשלום כלשהו ליורשיו של הנפטר, אך הנותר בדירה יישא בכל הוצאות האחזקה של הדירה</w:t>
      </w:r>
      <w:r>
        <w:rPr>
          <w:rFonts w:ascii="Arial" w:hAnsi="Arial"/>
          <w:noProof w:val="0"/>
          <w:rtl/>
        </w:rPr>
        <w:t>."</w:t>
      </w:r>
    </w:p>
    <w:p w:rsidR="00284A82" w:rsidRDefault="00284A82" w:rsidP="00284A82">
      <w:pPr>
        <w:pStyle w:val="a3"/>
        <w:spacing w:line="360" w:lineRule="auto"/>
        <w:ind w:left="1701" w:right="1276" w:hanging="1276"/>
        <w:jc w:val="both"/>
        <w:rPr>
          <w:rFonts w:ascii="Arial" w:hAnsi="Arial"/>
          <w:noProof w:val="0"/>
          <w:sz w:val="12"/>
          <w:szCs w:val="12"/>
          <w:rtl/>
        </w:rPr>
      </w:pPr>
    </w:p>
    <w:p w:rsidR="00284A82" w:rsidRDefault="00284A82" w:rsidP="00284A82">
      <w:pPr>
        <w:pStyle w:val="a3"/>
        <w:numPr>
          <w:ilvl w:val="1"/>
          <w:numId w:val="1"/>
        </w:numPr>
        <w:spacing w:line="360" w:lineRule="auto"/>
        <w:jc w:val="both"/>
        <w:rPr>
          <w:rFonts w:ascii="Arial" w:hAnsi="Arial"/>
          <w:noProof w:val="0"/>
          <w:rtl/>
        </w:rPr>
      </w:pPr>
      <w:r>
        <w:rPr>
          <w:rFonts w:ascii="Arial" w:hAnsi="Arial"/>
          <w:noProof w:val="0"/>
          <w:rtl/>
        </w:rPr>
        <w:t>בסעיף 6 לצוואה נכתב כלהלן:</w:t>
      </w:r>
    </w:p>
    <w:p w:rsidR="00284A82" w:rsidRDefault="00284A82" w:rsidP="00284A82">
      <w:pPr>
        <w:pStyle w:val="a3"/>
        <w:spacing w:line="360" w:lineRule="auto"/>
        <w:ind w:left="845"/>
        <w:jc w:val="both"/>
        <w:rPr>
          <w:rFonts w:ascii="Arial" w:hAnsi="Arial"/>
          <w:noProof w:val="0"/>
          <w:sz w:val="14"/>
          <w:szCs w:val="14"/>
        </w:rPr>
      </w:pPr>
    </w:p>
    <w:p w:rsidR="00284A82" w:rsidRDefault="00284A82" w:rsidP="00F902B4">
      <w:pPr>
        <w:pStyle w:val="a3"/>
        <w:spacing w:line="360" w:lineRule="auto"/>
        <w:ind w:left="1701" w:right="1276" w:hanging="1276"/>
        <w:jc w:val="both"/>
        <w:rPr>
          <w:rFonts w:ascii="Arial" w:hAnsi="Arial"/>
          <w:b/>
          <w:bCs/>
          <w:i/>
          <w:iCs/>
          <w:noProof w:val="0"/>
          <w:rtl/>
        </w:rPr>
      </w:pPr>
      <w:r>
        <w:rPr>
          <w:rFonts w:ascii="Arial" w:hAnsi="Arial"/>
          <w:b/>
          <w:bCs/>
          <w:i/>
          <w:iCs/>
          <w:noProof w:val="0"/>
          <w:rtl/>
        </w:rPr>
        <w:t xml:space="preserve">                    " במידה ובעת פטירתה של </w:t>
      </w:r>
      <w:r w:rsidR="00F902B4">
        <w:rPr>
          <w:rFonts w:ascii="Arial" w:hAnsi="Arial" w:hint="cs"/>
          <w:b/>
          <w:bCs/>
          <w:i/>
          <w:iCs/>
          <w:noProof w:val="0"/>
          <w:rtl/>
        </w:rPr>
        <w:t>המנוחה</w:t>
      </w:r>
      <w:r>
        <w:rPr>
          <w:rFonts w:ascii="Arial" w:hAnsi="Arial"/>
          <w:b/>
          <w:bCs/>
          <w:i/>
          <w:iCs/>
          <w:noProof w:val="0"/>
          <w:rtl/>
        </w:rPr>
        <w:t>, יהא לה רכוש כלשהו, מלבד חלקה בדירת המגורים, יעבור חלקה לילדי</w:t>
      </w:r>
      <w:r w:rsidR="00F902B4">
        <w:rPr>
          <w:rFonts w:ascii="Arial" w:hAnsi="Arial"/>
          <w:b/>
          <w:bCs/>
          <w:i/>
          <w:iCs/>
          <w:noProof w:val="0"/>
        </w:rPr>
        <w:t xml:space="preserve"> </w:t>
      </w:r>
      <w:r w:rsidR="00F902B4">
        <w:rPr>
          <w:rFonts w:ascii="Arial" w:hAnsi="Arial" w:hint="cs"/>
          <w:b/>
          <w:bCs/>
          <w:i/>
          <w:iCs/>
          <w:noProof w:val="0"/>
          <w:rtl/>
        </w:rPr>
        <w:t>המנוחה</w:t>
      </w:r>
    </w:p>
    <w:p w:rsidR="00284A82" w:rsidRDefault="00284A82" w:rsidP="00F902B4">
      <w:pPr>
        <w:pStyle w:val="a3"/>
        <w:spacing w:line="360" w:lineRule="auto"/>
        <w:ind w:left="1701" w:right="1276"/>
        <w:jc w:val="both"/>
        <w:rPr>
          <w:rFonts w:ascii="Arial" w:hAnsi="Arial"/>
          <w:b/>
          <w:bCs/>
          <w:i/>
          <w:iCs/>
          <w:noProof w:val="0"/>
          <w:rtl/>
        </w:rPr>
      </w:pPr>
      <w:r>
        <w:rPr>
          <w:rFonts w:ascii="Arial" w:hAnsi="Arial"/>
          <w:b/>
          <w:bCs/>
          <w:i/>
          <w:iCs/>
          <w:noProof w:val="0"/>
          <w:rtl/>
        </w:rPr>
        <w:t>במידה ו</w:t>
      </w:r>
      <w:r w:rsidR="00F902B4">
        <w:rPr>
          <w:rFonts w:ascii="Arial" w:hAnsi="Arial" w:hint="cs"/>
          <w:b/>
          <w:bCs/>
          <w:i/>
          <w:iCs/>
          <w:noProof w:val="0"/>
          <w:rtl/>
        </w:rPr>
        <w:t>המנוחה</w:t>
      </w:r>
      <w:r>
        <w:rPr>
          <w:rFonts w:ascii="Arial" w:hAnsi="Arial"/>
          <w:b/>
          <w:bCs/>
          <w:i/>
          <w:iCs/>
          <w:noProof w:val="0"/>
          <w:rtl/>
        </w:rPr>
        <w:t xml:space="preserve"> תלך לעולמה</w:t>
      </w:r>
      <w:r>
        <w:rPr>
          <w:rFonts w:ascii="Arial" w:hAnsi="Arial"/>
          <w:b/>
          <w:bCs/>
          <w:i/>
          <w:iCs/>
          <w:noProof w:val="0"/>
          <w:u w:val="single"/>
          <w:rtl/>
        </w:rPr>
        <w:t xml:space="preserve">, לפני </w:t>
      </w:r>
      <w:r w:rsidR="00F902B4">
        <w:rPr>
          <w:rFonts w:ascii="Arial" w:hAnsi="Arial" w:hint="cs"/>
          <w:b/>
          <w:bCs/>
          <w:i/>
          <w:iCs/>
          <w:noProof w:val="0"/>
          <w:u w:val="single"/>
          <w:rtl/>
        </w:rPr>
        <w:t xml:space="preserve">התובע </w:t>
      </w:r>
      <w:r>
        <w:rPr>
          <w:rFonts w:ascii="Arial" w:hAnsi="Arial"/>
          <w:b/>
          <w:bCs/>
          <w:i/>
          <w:iCs/>
          <w:noProof w:val="0"/>
          <w:rtl/>
        </w:rPr>
        <w:t xml:space="preserve">אזי ביטוח מנהלים ו/או תכניות חסכון, שיהיו </w:t>
      </w:r>
      <w:r w:rsidR="00F902B4">
        <w:rPr>
          <w:rFonts w:ascii="Arial" w:hAnsi="Arial" w:hint="cs"/>
          <w:b/>
          <w:bCs/>
          <w:i/>
          <w:iCs/>
          <w:noProof w:val="0"/>
          <w:rtl/>
        </w:rPr>
        <w:t>למנוחה</w:t>
      </w:r>
      <w:r>
        <w:rPr>
          <w:rFonts w:ascii="Arial" w:hAnsi="Arial"/>
          <w:b/>
          <w:bCs/>
          <w:i/>
          <w:iCs/>
          <w:noProof w:val="0"/>
          <w:rtl/>
        </w:rPr>
        <w:t xml:space="preserve">, אם יהיו, יועברו </w:t>
      </w:r>
      <w:r w:rsidR="00FF3F3C">
        <w:rPr>
          <w:rFonts w:ascii="Arial" w:hAnsi="Arial" w:hint="cs"/>
          <w:b/>
          <w:bCs/>
          <w:i/>
          <w:iCs/>
          <w:noProof w:val="0"/>
          <w:rtl/>
        </w:rPr>
        <w:t>ל</w:t>
      </w:r>
      <w:r w:rsidR="00F902B4">
        <w:rPr>
          <w:rFonts w:ascii="Arial" w:hAnsi="Arial" w:hint="cs"/>
          <w:b/>
          <w:bCs/>
          <w:i/>
          <w:iCs/>
          <w:noProof w:val="0"/>
          <w:rtl/>
        </w:rPr>
        <w:t>תובע</w:t>
      </w:r>
      <w:r>
        <w:rPr>
          <w:rFonts w:ascii="Arial" w:hAnsi="Arial"/>
          <w:b/>
          <w:bCs/>
          <w:i/>
          <w:iCs/>
          <w:noProof w:val="0"/>
          <w:rtl/>
        </w:rPr>
        <w:t>.</w:t>
      </w:r>
    </w:p>
    <w:p w:rsidR="00284A82" w:rsidRDefault="00284A82" w:rsidP="00F902B4">
      <w:pPr>
        <w:pStyle w:val="a3"/>
        <w:spacing w:line="360" w:lineRule="auto"/>
        <w:ind w:left="1701" w:right="1276"/>
        <w:jc w:val="both"/>
        <w:rPr>
          <w:rFonts w:ascii="Arial" w:hAnsi="Arial"/>
          <w:b/>
          <w:bCs/>
          <w:i/>
          <w:iCs/>
          <w:noProof w:val="0"/>
          <w:rtl/>
        </w:rPr>
      </w:pPr>
      <w:r>
        <w:rPr>
          <w:rFonts w:ascii="Arial" w:hAnsi="Arial"/>
          <w:b/>
          <w:bCs/>
          <w:i/>
          <w:iCs/>
          <w:noProof w:val="0"/>
          <w:rtl/>
        </w:rPr>
        <w:t>במידה ו</w:t>
      </w:r>
      <w:r w:rsidR="00F902B4">
        <w:rPr>
          <w:rFonts w:ascii="Arial" w:hAnsi="Arial" w:hint="cs"/>
          <w:b/>
          <w:bCs/>
          <w:i/>
          <w:iCs/>
          <w:noProof w:val="0"/>
          <w:rtl/>
        </w:rPr>
        <w:t>התובע</w:t>
      </w:r>
      <w:r>
        <w:rPr>
          <w:rFonts w:ascii="Arial" w:hAnsi="Arial"/>
          <w:b/>
          <w:bCs/>
          <w:i/>
          <w:iCs/>
          <w:noProof w:val="0"/>
          <w:rtl/>
        </w:rPr>
        <w:t xml:space="preserve"> ילך לעולמו </w:t>
      </w:r>
      <w:r>
        <w:rPr>
          <w:rFonts w:ascii="Arial" w:hAnsi="Arial"/>
          <w:b/>
          <w:bCs/>
          <w:i/>
          <w:iCs/>
          <w:noProof w:val="0"/>
          <w:u w:val="single"/>
          <w:rtl/>
        </w:rPr>
        <w:t xml:space="preserve">לפני </w:t>
      </w:r>
      <w:r w:rsidR="00F902B4">
        <w:rPr>
          <w:rFonts w:ascii="Arial" w:hAnsi="Arial" w:hint="cs"/>
          <w:b/>
          <w:bCs/>
          <w:i/>
          <w:iCs/>
          <w:noProof w:val="0"/>
          <w:u w:val="single"/>
          <w:rtl/>
        </w:rPr>
        <w:t>המנוחה</w:t>
      </w:r>
      <w:r>
        <w:rPr>
          <w:rFonts w:ascii="Arial" w:hAnsi="Arial"/>
          <w:b/>
          <w:bCs/>
          <w:i/>
          <w:iCs/>
          <w:noProof w:val="0"/>
          <w:rtl/>
        </w:rPr>
        <w:t xml:space="preserve">, יועברו הנ"ל לילדיה של </w:t>
      </w:r>
      <w:r w:rsidR="00F902B4">
        <w:rPr>
          <w:rFonts w:ascii="Arial" w:hAnsi="Arial" w:hint="cs"/>
          <w:b/>
          <w:bCs/>
          <w:i/>
          <w:iCs/>
          <w:noProof w:val="0"/>
          <w:rtl/>
        </w:rPr>
        <w:t>המנוחה</w:t>
      </w:r>
      <w:r>
        <w:rPr>
          <w:rFonts w:ascii="Arial" w:hAnsi="Arial"/>
          <w:b/>
          <w:bCs/>
          <w:i/>
          <w:iCs/>
          <w:noProof w:val="0"/>
          <w:rtl/>
        </w:rPr>
        <w:t>, בחלקים שווים ביניהם.</w:t>
      </w:r>
    </w:p>
    <w:p w:rsidR="00284A82" w:rsidRDefault="00284A82" w:rsidP="00F902B4">
      <w:pPr>
        <w:pStyle w:val="a3"/>
        <w:spacing w:line="360" w:lineRule="auto"/>
        <w:ind w:left="1701" w:right="1276"/>
        <w:jc w:val="both"/>
        <w:rPr>
          <w:rFonts w:ascii="Arial" w:hAnsi="Arial"/>
          <w:b/>
          <w:bCs/>
          <w:i/>
          <w:iCs/>
          <w:noProof w:val="0"/>
          <w:rtl/>
        </w:rPr>
      </w:pPr>
      <w:r>
        <w:rPr>
          <w:rFonts w:ascii="Arial" w:hAnsi="Arial"/>
          <w:b/>
          <w:bCs/>
          <w:i/>
          <w:iCs/>
          <w:noProof w:val="0"/>
          <w:rtl/>
        </w:rPr>
        <w:t>האמור לעיל- יחול, בהתאמה, אף על בטוחים או תכניות חסכון שיהיו ל</w:t>
      </w:r>
      <w:r w:rsidR="00F902B4">
        <w:rPr>
          <w:rFonts w:ascii="Arial" w:hAnsi="Arial" w:hint="cs"/>
          <w:b/>
          <w:bCs/>
          <w:i/>
          <w:iCs/>
          <w:noProof w:val="0"/>
          <w:rtl/>
        </w:rPr>
        <w:t>תובע</w:t>
      </w:r>
      <w:r>
        <w:rPr>
          <w:rFonts w:ascii="Arial" w:hAnsi="Arial"/>
          <w:b/>
          <w:bCs/>
          <w:i/>
          <w:iCs/>
          <w:noProof w:val="0"/>
          <w:rtl/>
        </w:rPr>
        <w:t>."</w:t>
      </w:r>
    </w:p>
    <w:p w:rsidR="00284A82" w:rsidRDefault="00284A82" w:rsidP="00284A82">
      <w:pPr>
        <w:pStyle w:val="a3"/>
        <w:spacing w:line="360" w:lineRule="auto"/>
        <w:ind w:left="1701" w:right="1276"/>
        <w:jc w:val="both"/>
        <w:rPr>
          <w:rFonts w:ascii="Arial" w:hAnsi="Arial"/>
          <w:b/>
          <w:bCs/>
          <w:i/>
          <w:iCs/>
          <w:noProof w:val="0"/>
          <w:rtl/>
        </w:rPr>
      </w:pPr>
    </w:p>
    <w:p w:rsidR="00284A82" w:rsidRDefault="00284A82" w:rsidP="00FF3F3C">
      <w:pPr>
        <w:pStyle w:val="a3"/>
        <w:numPr>
          <w:ilvl w:val="0"/>
          <w:numId w:val="1"/>
        </w:numPr>
        <w:spacing w:line="360" w:lineRule="auto"/>
        <w:ind w:left="425"/>
        <w:jc w:val="both"/>
        <w:rPr>
          <w:rFonts w:ascii="Arial" w:hAnsi="Arial"/>
          <w:noProof w:val="0"/>
          <w:rtl/>
        </w:rPr>
      </w:pPr>
      <w:r>
        <w:rPr>
          <w:rFonts w:ascii="Arial" w:hAnsi="Arial"/>
          <w:noProof w:val="0"/>
          <w:rtl/>
        </w:rPr>
        <w:lastRenderedPageBreak/>
        <w:t xml:space="preserve">המנוחה החזיקה בפוליסת ביטוח מנהלים מס' </w:t>
      </w:r>
      <w:r w:rsidR="00FF3F3C">
        <w:rPr>
          <w:rFonts w:ascii="Arial" w:hAnsi="Arial" w:hint="cs"/>
          <w:noProof w:val="0"/>
        </w:rPr>
        <w:t>XXX</w:t>
      </w:r>
      <w:r>
        <w:rPr>
          <w:rFonts w:ascii="Arial" w:hAnsi="Arial"/>
          <w:noProof w:val="0"/>
          <w:rtl/>
        </w:rPr>
        <w:t xml:space="preserve"> בחברת הביטוח "מגדל" (להלן: "</w:t>
      </w:r>
      <w:r>
        <w:rPr>
          <w:rFonts w:ascii="Arial" w:hAnsi="Arial"/>
          <w:b/>
          <w:bCs/>
          <w:i/>
          <w:iCs/>
          <w:noProof w:val="0"/>
          <w:rtl/>
        </w:rPr>
        <w:t>פוליסת הביטוח</w:t>
      </w:r>
      <w:r>
        <w:rPr>
          <w:rFonts w:ascii="Arial" w:hAnsi="Arial"/>
          <w:noProof w:val="0"/>
          <w:rtl/>
        </w:rPr>
        <w:t xml:space="preserve">"). הנתבעים מונו ע"י המנוחה כמוטבים בפוליסה זו. </w:t>
      </w:r>
    </w:p>
    <w:p w:rsidR="00284A82" w:rsidRDefault="00284A82" w:rsidP="00284A82">
      <w:pPr>
        <w:pStyle w:val="a3"/>
        <w:spacing w:line="360" w:lineRule="auto"/>
        <w:ind w:left="425"/>
        <w:jc w:val="both"/>
        <w:rPr>
          <w:rFonts w:ascii="Arial" w:hAnsi="Arial"/>
          <w:noProof w:val="0"/>
          <w:rtl/>
        </w:rPr>
      </w:pPr>
    </w:p>
    <w:p w:rsidR="00284A82" w:rsidRDefault="00284A82" w:rsidP="00FF3F3C">
      <w:pPr>
        <w:pStyle w:val="a3"/>
        <w:numPr>
          <w:ilvl w:val="0"/>
          <w:numId w:val="1"/>
        </w:numPr>
        <w:spacing w:line="360" w:lineRule="auto"/>
        <w:ind w:left="425"/>
        <w:jc w:val="both"/>
        <w:rPr>
          <w:rFonts w:ascii="Arial" w:hAnsi="Arial"/>
          <w:noProof w:val="0"/>
        </w:rPr>
      </w:pPr>
      <w:r>
        <w:rPr>
          <w:rFonts w:ascii="Arial" w:hAnsi="Arial"/>
          <w:noProof w:val="0"/>
          <w:rtl/>
        </w:rPr>
        <w:t xml:space="preserve">בתחילת שנת 2018, לאחר עריכת הצוואה, אובחנה המנוחה כחולה במחלת הסרטן. מספר חודשים לאחר מכן אושפזה המנוחה בבית החולים, שם גם נפטרה ביום </w:t>
      </w:r>
      <w:r w:rsidR="00FF3F3C">
        <w:rPr>
          <w:rFonts w:ascii="Arial" w:hAnsi="Arial" w:hint="cs"/>
          <w:noProof w:val="0"/>
        </w:rPr>
        <w:t>XXX</w:t>
      </w:r>
      <w:r>
        <w:rPr>
          <w:rFonts w:ascii="Arial" w:hAnsi="Arial"/>
          <w:noProof w:val="0"/>
          <w:rtl/>
        </w:rPr>
        <w:t>.</w:t>
      </w:r>
    </w:p>
    <w:p w:rsidR="00284A82" w:rsidRDefault="00284A82" w:rsidP="00284A82">
      <w:pPr>
        <w:pStyle w:val="a3"/>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ביום 8/8/2018 נחתמה הודעת מעביד בדבר פרישתה של המנוחה מעבודתה, ובעקבות כך שילמה חברת הביטוח לחשבונה של המנוחה סך של 139,030 ₪ (ראו נספח ג' לתצהיר עדותו הראשית של התובע). סכום זה חולק בחלקים שווים בין הצדדים לאחר פטירת המנוחה. </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ביום 10/10/2018 שילמה חברת הביטוח לידי הנתבעים תגמולי ביטוח בסך כולל של 667,931 ₪ (ראו נספח 1 לכתב ההגנה). </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ביום 13/1/2019 ניתן, ע"י כב' הרשם לענייני ירושה בבאר שבע, צו לקיום צוואתה של המנוחה.</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ביום 12/11/2020 הגיש התובע כנגד הנתבעים את שתי התובענות שבכותרת.</w:t>
      </w:r>
    </w:p>
    <w:p w:rsidR="00284A82" w:rsidRDefault="00284A82" w:rsidP="00284A82">
      <w:pPr>
        <w:pStyle w:val="a3"/>
        <w:rPr>
          <w:rFonts w:ascii="Arial" w:hAnsi="Arial"/>
          <w:noProof w:val="0"/>
          <w:rtl/>
        </w:rPr>
      </w:pPr>
    </w:p>
    <w:p w:rsidR="00284A82" w:rsidRDefault="00284A82" w:rsidP="00284A82">
      <w:pPr>
        <w:spacing w:line="360" w:lineRule="auto"/>
        <w:ind w:left="-284"/>
        <w:jc w:val="both"/>
        <w:rPr>
          <w:rFonts w:ascii="Arial" w:hAnsi="Arial"/>
          <w:b/>
          <w:bCs/>
          <w:noProof w:val="0"/>
          <w:sz w:val="28"/>
          <w:szCs w:val="28"/>
          <w:u w:val="single"/>
        </w:rPr>
      </w:pPr>
      <w:r>
        <w:rPr>
          <w:rFonts w:ascii="Arial" w:hAnsi="Arial"/>
          <w:b/>
          <w:bCs/>
          <w:noProof w:val="0"/>
          <w:sz w:val="28"/>
          <w:szCs w:val="28"/>
          <w:u w:val="single"/>
          <w:rtl/>
        </w:rPr>
        <w:t>טענות התובע</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u w:val="single"/>
          <w:rtl/>
        </w:rPr>
      </w:pPr>
      <w:r>
        <w:rPr>
          <w:rFonts w:ascii="Arial" w:hAnsi="Arial"/>
          <w:noProof w:val="0"/>
          <w:u w:val="single"/>
          <w:rtl/>
        </w:rPr>
        <w:t xml:space="preserve">עיקר טענותיו של התובע בכל הקשור </w:t>
      </w:r>
      <w:r>
        <w:rPr>
          <w:rFonts w:ascii="Arial" w:hAnsi="Arial"/>
          <w:b/>
          <w:bCs/>
          <w:noProof w:val="0"/>
          <w:u w:val="single"/>
          <w:rtl/>
        </w:rPr>
        <w:t>לתביעה הכספית</w:t>
      </w:r>
      <w:r>
        <w:rPr>
          <w:rFonts w:ascii="Arial" w:hAnsi="Arial"/>
          <w:noProof w:val="0"/>
          <w:u w:val="single"/>
          <w:rtl/>
        </w:rPr>
        <w:t xml:space="preserve"> הינן כדלקמן:</w:t>
      </w:r>
    </w:p>
    <w:p w:rsidR="00284A82" w:rsidRDefault="00284A82" w:rsidP="00284A82">
      <w:pPr>
        <w:pStyle w:val="a3"/>
        <w:spacing w:line="360" w:lineRule="auto"/>
        <w:ind w:left="425"/>
        <w:jc w:val="both"/>
        <w:rPr>
          <w:rFonts w:ascii="Arial" w:hAnsi="Arial"/>
          <w:noProof w:val="0"/>
          <w:sz w:val="14"/>
          <w:szCs w:val="14"/>
          <w:rtl/>
        </w:rPr>
      </w:pPr>
    </w:p>
    <w:p w:rsidR="00284A82" w:rsidRDefault="00284A82" w:rsidP="00284A82">
      <w:pPr>
        <w:pStyle w:val="a3"/>
        <w:numPr>
          <w:ilvl w:val="0"/>
          <w:numId w:val="2"/>
        </w:numPr>
        <w:spacing w:line="360" w:lineRule="auto"/>
        <w:jc w:val="both"/>
        <w:rPr>
          <w:rFonts w:ascii="Arial" w:hAnsi="Arial"/>
          <w:noProof w:val="0"/>
        </w:rPr>
      </w:pPr>
      <w:r>
        <w:rPr>
          <w:rFonts w:ascii="Arial" w:hAnsi="Arial"/>
          <w:noProof w:val="0"/>
          <w:rtl/>
        </w:rPr>
        <w:t>המדובר בהתנגשות בין סעיף 147 לחוק הירושה, תשכ"ה-1965 (להלן: "</w:t>
      </w:r>
      <w:r>
        <w:rPr>
          <w:rFonts w:ascii="Arial" w:hAnsi="Arial"/>
          <w:b/>
          <w:bCs/>
          <w:i/>
          <w:iCs/>
          <w:noProof w:val="0"/>
          <w:rtl/>
        </w:rPr>
        <w:t>חוק הירושה</w:t>
      </w:r>
      <w:r>
        <w:rPr>
          <w:rFonts w:ascii="Arial" w:hAnsi="Arial"/>
          <w:noProof w:val="0"/>
          <w:rtl/>
        </w:rPr>
        <w:t xml:space="preserve">"), לבין הוראות סעיף 6 לצוואה, שכן בהתאם להוראות סעיף 6 לצוואה התובע זכאי לקבל את כספי הביטוח במלואם, אך בפועל, חרף פניותיו של התובע לחברת הביטוח בתאריכים 12/9/2018 וכן 19/3/2019, חברת הביטוח העבירה את כספי הביטוח במלואם לנתבעים, שהינם המוטבים עפ"י תנאי הפוליסה, וזאת בהסתמך על הוראות סעיף 147 לחוק הירושה. </w:t>
      </w:r>
    </w:p>
    <w:p w:rsidR="00284A82" w:rsidRDefault="00284A82" w:rsidP="00284A82">
      <w:pPr>
        <w:pStyle w:val="a3"/>
        <w:numPr>
          <w:ilvl w:val="0"/>
          <w:numId w:val="2"/>
        </w:numPr>
        <w:spacing w:line="360" w:lineRule="auto"/>
        <w:jc w:val="both"/>
        <w:rPr>
          <w:rFonts w:ascii="Arial" w:hAnsi="Arial"/>
          <w:noProof w:val="0"/>
          <w:rtl/>
        </w:rPr>
      </w:pPr>
      <w:r>
        <w:rPr>
          <w:rFonts w:ascii="Arial" w:hAnsi="Arial"/>
          <w:noProof w:val="0"/>
          <w:rtl/>
        </w:rPr>
        <w:t>בסעיף 36(ב) לחוק החוזים (חלק כללי) , תשל"ג-1973, נקבע שניתן לבטל את זכותו של מוטב בפוליסת ביטוח כנ"ל או להעמיד תחתיו מוטב אחר, וזאת בהודעה לחברת הביטוח ו/או בצוואה שהודעה עליה ניתנה לחברת הביטוח.</w:t>
      </w:r>
    </w:p>
    <w:p w:rsidR="00284A82" w:rsidRDefault="00284A82" w:rsidP="00284A82">
      <w:pPr>
        <w:pStyle w:val="a3"/>
        <w:numPr>
          <w:ilvl w:val="0"/>
          <w:numId w:val="2"/>
        </w:numPr>
        <w:spacing w:line="360" w:lineRule="auto"/>
        <w:jc w:val="both"/>
        <w:rPr>
          <w:rFonts w:ascii="Arial" w:hAnsi="Arial"/>
          <w:noProof w:val="0"/>
        </w:rPr>
      </w:pPr>
      <w:r>
        <w:rPr>
          <w:rFonts w:ascii="Arial" w:hAnsi="Arial"/>
          <w:noProof w:val="0"/>
          <w:rtl/>
        </w:rPr>
        <w:t xml:space="preserve">בפסיקה נקבע כי על אף הוראות סעיף 147 לחוק הירושה, ניתן להכליל את כספי הביטוח בגדר נכסי העיזבון. הפסיקה גם הכירה בכך שבכל הקשור לשינוי הוראת מוטבים בדרך של צוואה, ניתן להסתפק בנסיבות מסוימות בהודעה שנשלחה לחברת הביטוח </w:t>
      </w:r>
      <w:r>
        <w:rPr>
          <w:rFonts w:ascii="Arial" w:hAnsi="Arial"/>
          <w:noProof w:val="0"/>
          <w:u w:val="single"/>
          <w:rtl/>
        </w:rPr>
        <w:t>לאחר</w:t>
      </w:r>
      <w:r>
        <w:rPr>
          <w:rFonts w:ascii="Arial" w:hAnsi="Arial"/>
          <w:noProof w:val="0"/>
          <w:rtl/>
        </w:rPr>
        <w:t xml:space="preserve"> </w:t>
      </w:r>
      <w:r>
        <w:rPr>
          <w:rFonts w:ascii="Arial" w:hAnsi="Arial"/>
          <w:noProof w:val="0"/>
          <w:rtl/>
        </w:rPr>
        <w:lastRenderedPageBreak/>
        <w:t>הפטירה, ובכל מקרה העיקרון המנחה הינו עקרון הגשמת רצון המת, שהינו הפן המהותי, ויש להעדיפו על פני הפן הצורני.</w:t>
      </w:r>
    </w:p>
    <w:p w:rsidR="00284A82" w:rsidRDefault="00284A82" w:rsidP="00284A82">
      <w:pPr>
        <w:pStyle w:val="a3"/>
        <w:numPr>
          <w:ilvl w:val="0"/>
          <w:numId w:val="2"/>
        </w:numPr>
        <w:spacing w:line="360" w:lineRule="auto"/>
        <w:jc w:val="both"/>
        <w:rPr>
          <w:rFonts w:ascii="Arial" w:hAnsi="Arial"/>
          <w:noProof w:val="0"/>
        </w:rPr>
      </w:pPr>
      <w:r>
        <w:rPr>
          <w:rFonts w:ascii="Arial" w:hAnsi="Arial"/>
          <w:noProof w:val="0"/>
          <w:rtl/>
        </w:rPr>
        <w:t xml:space="preserve">במקרה </w:t>
      </w:r>
      <w:proofErr w:type="spellStart"/>
      <w:r>
        <w:rPr>
          <w:rFonts w:ascii="Arial" w:hAnsi="Arial"/>
          <w:noProof w:val="0"/>
          <w:rtl/>
        </w:rPr>
        <w:t>שבנדוננו</w:t>
      </w:r>
      <w:proofErr w:type="spellEnd"/>
      <w:r>
        <w:rPr>
          <w:rFonts w:ascii="Arial" w:hAnsi="Arial"/>
          <w:noProof w:val="0"/>
          <w:rtl/>
        </w:rPr>
        <w:t xml:space="preserve"> סעיף 6 לצוואה מהווה הוראה מפורשת בדבר שינוי הוראת המוטבים בקשר לכספי הביטוח, ומדובר בשינוי הוראות המוטבים שנעשתה ע"י המנוחה במסגרת צוואתה, אשר הביאה לידי ביטוי את רצונה המפורש לפיו המוטב בפוליסת הביטוח יהיה התובע, ולא הנתבעים. </w:t>
      </w:r>
    </w:p>
    <w:p w:rsidR="00284A82" w:rsidRDefault="00284A82" w:rsidP="00284A82">
      <w:pPr>
        <w:pStyle w:val="a3"/>
        <w:spacing w:line="360" w:lineRule="auto"/>
        <w:ind w:left="785"/>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u w:val="single"/>
        </w:rPr>
      </w:pPr>
      <w:r>
        <w:rPr>
          <w:rFonts w:ascii="Arial" w:hAnsi="Arial"/>
          <w:noProof w:val="0"/>
          <w:u w:val="single"/>
          <w:rtl/>
        </w:rPr>
        <w:t xml:space="preserve">עיקר טענותיו של התובע בכל הקשור </w:t>
      </w:r>
      <w:r>
        <w:rPr>
          <w:rFonts w:ascii="Arial" w:hAnsi="Arial"/>
          <w:b/>
          <w:bCs/>
          <w:noProof w:val="0"/>
          <w:u w:val="single"/>
          <w:rtl/>
        </w:rPr>
        <w:t>לתביעה לצו עשה</w:t>
      </w:r>
      <w:r>
        <w:rPr>
          <w:rFonts w:ascii="Arial" w:hAnsi="Arial"/>
          <w:noProof w:val="0"/>
          <w:u w:val="single"/>
          <w:rtl/>
        </w:rPr>
        <w:t xml:space="preserve"> הינן כדלקמן:</w:t>
      </w:r>
    </w:p>
    <w:p w:rsidR="00284A82" w:rsidRDefault="00284A82" w:rsidP="00284A82">
      <w:pPr>
        <w:pStyle w:val="a3"/>
        <w:spacing w:line="360" w:lineRule="auto"/>
        <w:ind w:left="425"/>
        <w:jc w:val="both"/>
        <w:rPr>
          <w:rFonts w:ascii="Arial" w:hAnsi="Arial"/>
          <w:noProof w:val="0"/>
          <w:sz w:val="14"/>
          <w:szCs w:val="14"/>
        </w:rPr>
      </w:pPr>
    </w:p>
    <w:p w:rsidR="00284A82" w:rsidRDefault="00284A82" w:rsidP="00284A82">
      <w:pPr>
        <w:pStyle w:val="a3"/>
        <w:numPr>
          <w:ilvl w:val="0"/>
          <w:numId w:val="3"/>
        </w:numPr>
        <w:spacing w:line="360" w:lineRule="auto"/>
        <w:jc w:val="both"/>
        <w:rPr>
          <w:rFonts w:ascii="Arial" w:hAnsi="Arial"/>
          <w:noProof w:val="0"/>
        </w:rPr>
      </w:pPr>
      <w:r>
        <w:rPr>
          <w:rFonts w:ascii="Arial" w:hAnsi="Arial"/>
          <w:noProof w:val="0"/>
          <w:rtl/>
        </w:rPr>
        <w:t xml:space="preserve">בהתאם להוראות סעיף 4 (ג) לצוואה ניתנה לתובע זכות מגוריו לכל ימי חייו בדירה. </w:t>
      </w:r>
    </w:p>
    <w:p w:rsidR="00284A82" w:rsidRDefault="00284A82" w:rsidP="00284A82">
      <w:pPr>
        <w:pStyle w:val="a3"/>
        <w:numPr>
          <w:ilvl w:val="0"/>
          <w:numId w:val="3"/>
        </w:numPr>
        <w:spacing w:line="360" w:lineRule="auto"/>
        <w:jc w:val="both"/>
        <w:rPr>
          <w:rFonts w:ascii="Arial" w:hAnsi="Arial"/>
          <w:noProof w:val="0"/>
        </w:rPr>
      </w:pPr>
      <w:r>
        <w:rPr>
          <w:rFonts w:ascii="Arial" w:hAnsi="Arial"/>
          <w:noProof w:val="0"/>
          <w:rtl/>
        </w:rPr>
        <w:t>ברישא לסעיף 4 לצוואה נקבע כי במקרה של פטירת מי מבני הזוג, יעבור חלקו/חלקה בדירה ו/או בחליפתה לילדיו/ילדיה. לטענת התובע, הפרשנות הנכונה שיש להעניק לסעיף 4 הנ"ל בכללותו, הינה שבני הזוג קבעו שבן הזוג אשר יאריך ימים, יהא רשאי למכור את הדירה ולרכוש דירת מגורים אחרת תחתיה, וזכות המגורים שניתנה תישמר גם ביחס לדירה החלופית שתירכש.</w:t>
      </w:r>
    </w:p>
    <w:p w:rsidR="00284A82" w:rsidRDefault="00284A82" w:rsidP="00284A82">
      <w:pPr>
        <w:pStyle w:val="a3"/>
        <w:numPr>
          <w:ilvl w:val="0"/>
          <w:numId w:val="3"/>
        </w:numPr>
        <w:spacing w:line="360" w:lineRule="auto"/>
        <w:jc w:val="both"/>
        <w:rPr>
          <w:rFonts w:ascii="Arial" w:hAnsi="Arial"/>
          <w:noProof w:val="0"/>
        </w:rPr>
      </w:pPr>
      <w:r>
        <w:rPr>
          <w:rFonts w:ascii="Arial" w:hAnsi="Arial"/>
          <w:noProof w:val="0"/>
          <w:rtl/>
        </w:rPr>
        <w:t>דרישתם של הנתבעים למכירת הדירה כבר עתה, מנוגדת להוראות הצוואה.</w:t>
      </w:r>
    </w:p>
    <w:p w:rsidR="00284A82" w:rsidRDefault="00284A82" w:rsidP="00284A82">
      <w:pPr>
        <w:pStyle w:val="a3"/>
        <w:numPr>
          <w:ilvl w:val="0"/>
          <w:numId w:val="3"/>
        </w:numPr>
        <w:spacing w:line="360" w:lineRule="auto"/>
        <w:jc w:val="both"/>
        <w:rPr>
          <w:rFonts w:ascii="Arial" w:hAnsi="Arial"/>
          <w:noProof w:val="0"/>
        </w:rPr>
      </w:pPr>
      <w:r>
        <w:rPr>
          <w:rFonts w:ascii="Arial" w:hAnsi="Arial"/>
          <w:noProof w:val="0"/>
          <w:rtl/>
        </w:rPr>
        <w:t>התובע רשאי למכור את הדירה, ולרכוש תחתיה דירת מגורים חלופית אשר תירשם במחציתה ע"ש הנתבעים, ויש לחייב את הנתבעים לשתף פעולה לצורך המכירה והרכישה כנ"ל.</w:t>
      </w:r>
    </w:p>
    <w:p w:rsidR="00284A82" w:rsidRDefault="00284A82" w:rsidP="00284A82">
      <w:pPr>
        <w:pStyle w:val="a3"/>
        <w:spacing w:line="360" w:lineRule="auto"/>
        <w:ind w:left="785"/>
        <w:jc w:val="both"/>
        <w:rPr>
          <w:rFonts w:ascii="Arial" w:hAnsi="Arial"/>
          <w:noProof w:val="0"/>
          <w:sz w:val="14"/>
          <w:szCs w:val="14"/>
        </w:rPr>
      </w:pPr>
    </w:p>
    <w:p w:rsidR="00284A82" w:rsidRDefault="00284A82" w:rsidP="00284A82">
      <w:pPr>
        <w:spacing w:line="360" w:lineRule="auto"/>
        <w:jc w:val="both"/>
        <w:rPr>
          <w:rFonts w:ascii="Arial" w:hAnsi="Arial"/>
          <w:b/>
          <w:bCs/>
          <w:noProof w:val="0"/>
          <w:sz w:val="28"/>
          <w:szCs w:val="28"/>
          <w:u w:val="single"/>
        </w:rPr>
      </w:pPr>
      <w:r>
        <w:rPr>
          <w:rFonts w:ascii="Arial" w:hAnsi="Arial"/>
          <w:b/>
          <w:bCs/>
          <w:noProof w:val="0"/>
          <w:sz w:val="28"/>
          <w:szCs w:val="28"/>
          <w:u w:val="single"/>
          <w:rtl/>
        </w:rPr>
        <w:t>טענות הנתבעים</w:t>
      </w:r>
    </w:p>
    <w:p w:rsidR="00284A82" w:rsidRDefault="00284A82" w:rsidP="00284A82">
      <w:pPr>
        <w:spacing w:line="360" w:lineRule="auto"/>
        <w:jc w:val="both"/>
        <w:rPr>
          <w:rFonts w:ascii="Arial" w:hAnsi="Arial"/>
          <w:noProof w:val="0"/>
          <w:sz w:val="14"/>
          <w:szCs w:val="14"/>
        </w:rPr>
      </w:pPr>
    </w:p>
    <w:p w:rsidR="00284A82" w:rsidRDefault="00284A82" w:rsidP="00284A82">
      <w:pPr>
        <w:pStyle w:val="a3"/>
        <w:numPr>
          <w:ilvl w:val="0"/>
          <w:numId w:val="1"/>
        </w:numPr>
        <w:spacing w:line="360" w:lineRule="auto"/>
        <w:ind w:left="425"/>
        <w:jc w:val="both"/>
        <w:rPr>
          <w:rFonts w:ascii="Arial" w:hAnsi="Arial"/>
          <w:noProof w:val="0"/>
          <w:u w:val="single"/>
          <w:rtl/>
        </w:rPr>
      </w:pPr>
      <w:r>
        <w:rPr>
          <w:rFonts w:ascii="Arial" w:hAnsi="Arial"/>
          <w:noProof w:val="0"/>
          <w:u w:val="single"/>
          <w:rtl/>
        </w:rPr>
        <w:t>עיקר טענותיהם של הנתבעים בכל הקשור לתביעה הכספית הינן כדלקמן:</w:t>
      </w:r>
    </w:p>
    <w:p w:rsidR="00284A82" w:rsidRDefault="00284A82" w:rsidP="00284A82">
      <w:pPr>
        <w:spacing w:line="360" w:lineRule="auto"/>
        <w:ind w:left="65"/>
        <w:jc w:val="both"/>
        <w:rPr>
          <w:rFonts w:ascii="Arial" w:hAnsi="Arial"/>
          <w:noProof w:val="0"/>
          <w:sz w:val="16"/>
          <w:szCs w:val="16"/>
        </w:rPr>
      </w:pPr>
    </w:p>
    <w:p w:rsidR="00284A82" w:rsidRDefault="00284A82" w:rsidP="00284A82">
      <w:pPr>
        <w:pStyle w:val="a3"/>
        <w:numPr>
          <w:ilvl w:val="0"/>
          <w:numId w:val="4"/>
        </w:numPr>
        <w:spacing w:line="360" w:lineRule="auto"/>
        <w:ind w:left="850"/>
        <w:jc w:val="both"/>
        <w:rPr>
          <w:rFonts w:ascii="Arial" w:hAnsi="Arial"/>
          <w:noProof w:val="0"/>
        </w:rPr>
      </w:pPr>
      <w:r>
        <w:rPr>
          <w:rFonts w:ascii="Arial" w:hAnsi="Arial"/>
          <w:noProof w:val="0"/>
          <w:rtl/>
        </w:rPr>
        <w:t>מחלתה של המנוחה התגלתה רק לאחר עריכת הצוואה ולא קודם לכן.</w:t>
      </w:r>
    </w:p>
    <w:p w:rsidR="00284A82" w:rsidRDefault="00284A82" w:rsidP="00284A82">
      <w:pPr>
        <w:pStyle w:val="a3"/>
        <w:numPr>
          <w:ilvl w:val="0"/>
          <w:numId w:val="4"/>
        </w:numPr>
        <w:spacing w:line="360" w:lineRule="auto"/>
        <w:ind w:left="850"/>
        <w:jc w:val="both"/>
        <w:rPr>
          <w:rFonts w:ascii="Arial" w:hAnsi="Arial"/>
          <w:noProof w:val="0"/>
          <w:rtl/>
        </w:rPr>
      </w:pPr>
      <w:r>
        <w:rPr>
          <w:rFonts w:ascii="Arial" w:hAnsi="Arial"/>
          <w:noProof w:val="0"/>
          <w:rtl/>
        </w:rPr>
        <w:t xml:space="preserve">לאחר עריכת הצוואה, המנוחה הביעה רצון מפורש לשינוי הוראות סעיף 6 לצוואה, והבהירה כי רצונה הוא שהנתבעים הם שיקבלו את כספי ביטוח החיים ולא התובע. </w:t>
      </w:r>
    </w:p>
    <w:p w:rsidR="00284A82" w:rsidRDefault="00284A82" w:rsidP="00284A82">
      <w:pPr>
        <w:pStyle w:val="a3"/>
        <w:numPr>
          <w:ilvl w:val="0"/>
          <w:numId w:val="4"/>
        </w:numPr>
        <w:spacing w:line="360" w:lineRule="auto"/>
        <w:ind w:left="850"/>
        <w:jc w:val="both"/>
        <w:rPr>
          <w:rFonts w:ascii="Arial" w:hAnsi="Arial"/>
          <w:noProof w:val="0"/>
        </w:rPr>
      </w:pPr>
      <w:r>
        <w:rPr>
          <w:rFonts w:ascii="Arial" w:hAnsi="Arial"/>
          <w:noProof w:val="0"/>
          <w:rtl/>
        </w:rPr>
        <w:t>הנתבעים היו המוטבים בפוליסת הביטוח, וביום 10/10/2018 שילמה לידיהם חברת הביטוח סך של 667,931 ₪, מתוכם סך של 529,656 ₪ בגין ביטוח חיים, והיתרה בין כספי תגמולים.</w:t>
      </w:r>
    </w:p>
    <w:p w:rsidR="00284A82" w:rsidRDefault="00284A82" w:rsidP="00284A82">
      <w:pPr>
        <w:pStyle w:val="a3"/>
        <w:numPr>
          <w:ilvl w:val="0"/>
          <w:numId w:val="4"/>
        </w:numPr>
        <w:spacing w:line="360" w:lineRule="auto"/>
        <w:ind w:left="850"/>
        <w:jc w:val="both"/>
        <w:rPr>
          <w:rFonts w:ascii="Arial" w:hAnsi="Arial"/>
          <w:noProof w:val="0"/>
        </w:rPr>
      </w:pPr>
      <w:r>
        <w:rPr>
          <w:rFonts w:ascii="Arial" w:hAnsi="Arial"/>
          <w:noProof w:val="0"/>
          <w:rtl/>
        </w:rPr>
        <w:t xml:space="preserve">בנסיבות </w:t>
      </w:r>
      <w:proofErr w:type="spellStart"/>
      <w:r>
        <w:rPr>
          <w:rFonts w:ascii="Arial" w:hAnsi="Arial"/>
          <w:noProof w:val="0"/>
          <w:rtl/>
        </w:rPr>
        <w:t>נדוננו</w:t>
      </w:r>
      <w:proofErr w:type="spellEnd"/>
      <w:r>
        <w:rPr>
          <w:rFonts w:ascii="Arial" w:hAnsi="Arial"/>
          <w:noProof w:val="0"/>
          <w:rtl/>
        </w:rPr>
        <w:t xml:space="preserve"> הוראת המוטבים גוברת על הוראות הצוואה, ובכל מקרה רצונה של המנוחה, כעולה מהראיות שצורפו הנתבעים, היה שהנתבעים הם שיקבלו את כספי ביטוח החיים שלה.</w:t>
      </w:r>
    </w:p>
    <w:p w:rsidR="00284A82" w:rsidRDefault="00284A82" w:rsidP="00284A82">
      <w:pPr>
        <w:pStyle w:val="a3"/>
        <w:numPr>
          <w:ilvl w:val="0"/>
          <w:numId w:val="4"/>
        </w:numPr>
        <w:spacing w:line="360" w:lineRule="auto"/>
        <w:ind w:left="850"/>
        <w:jc w:val="both"/>
        <w:rPr>
          <w:rFonts w:ascii="Arial" w:hAnsi="Arial"/>
          <w:noProof w:val="0"/>
        </w:rPr>
      </w:pPr>
      <w:r>
        <w:rPr>
          <w:rFonts w:ascii="Arial" w:hAnsi="Arial"/>
          <w:noProof w:val="0"/>
          <w:rtl/>
        </w:rPr>
        <w:lastRenderedPageBreak/>
        <w:t>יש להגדיר את חלקם של הנתבעים ברכוש בעת עריכת הצוואה וזאת לצורך ביצוע קיזוז.</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u w:val="single"/>
        </w:rPr>
      </w:pPr>
      <w:r>
        <w:rPr>
          <w:rFonts w:ascii="Arial" w:hAnsi="Arial"/>
          <w:noProof w:val="0"/>
          <w:u w:val="single"/>
          <w:rtl/>
        </w:rPr>
        <w:t>עיקר טענותיהם של הנתבעים בכל הקשור לתביעה לצו עשה הינן כדלקמן:</w:t>
      </w:r>
    </w:p>
    <w:p w:rsidR="00284A82" w:rsidRDefault="00284A82" w:rsidP="00284A82">
      <w:pPr>
        <w:spacing w:line="360" w:lineRule="auto"/>
        <w:ind w:left="65"/>
        <w:jc w:val="both"/>
        <w:rPr>
          <w:rFonts w:ascii="Arial" w:hAnsi="Arial"/>
          <w:noProof w:val="0"/>
        </w:rPr>
      </w:pPr>
    </w:p>
    <w:p w:rsidR="00284A82" w:rsidRDefault="00284A82" w:rsidP="00284A82">
      <w:pPr>
        <w:pStyle w:val="a3"/>
        <w:numPr>
          <w:ilvl w:val="0"/>
          <w:numId w:val="5"/>
        </w:numPr>
        <w:spacing w:line="360" w:lineRule="auto"/>
        <w:ind w:left="992" w:hanging="502"/>
        <w:jc w:val="both"/>
        <w:rPr>
          <w:rFonts w:ascii="Arial" w:hAnsi="Arial"/>
          <w:noProof w:val="0"/>
        </w:rPr>
      </w:pPr>
      <w:r>
        <w:rPr>
          <w:rFonts w:ascii="Arial" w:hAnsi="Arial"/>
          <w:noProof w:val="0"/>
          <w:rtl/>
        </w:rPr>
        <w:t>אין לקבל את פרשנותו של התובע בכל הקשור להוראות סעיף 4 לצוואה.</w:t>
      </w:r>
    </w:p>
    <w:p w:rsidR="00284A82" w:rsidRDefault="00284A82" w:rsidP="00284A82">
      <w:pPr>
        <w:pStyle w:val="a3"/>
        <w:numPr>
          <w:ilvl w:val="0"/>
          <w:numId w:val="5"/>
        </w:numPr>
        <w:spacing w:line="360" w:lineRule="auto"/>
        <w:ind w:left="992" w:hanging="502"/>
        <w:jc w:val="both"/>
        <w:rPr>
          <w:rFonts w:ascii="Arial" w:hAnsi="Arial"/>
          <w:noProof w:val="0"/>
          <w:rtl/>
        </w:rPr>
      </w:pPr>
      <w:r>
        <w:rPr>
          <w:rFonts w:ascii="Arial" w:hAnsi="Arial"/>
          <w:noProof w:val="0"/>
          <w:rtl/>
        </w:rPr>
        <w:t>מלשון סעיף 4(ד) לצוואה עולה כי הדירה תימכר רק לאחר פטירתם של שני בני הזוג, וסעיף זה שולל מניה וביה את פרשנותו של הנתבע להוראות סעיף 4(ג) לצוואה.</w:t>
      </w:r>
    </w:p>
    <w:p w:rsidR="00284A82" w:rsidRDefault="00284A82" w:rsidP="00284A82">
      <w:pPr>
        <w:pStyle w:val="a3"/>
        <w:numPr>
          <w:ilvl w:val="0"/>
          <w:numId w:val="5"/>
        </w:numPr>
        <w:spacing w:line="360" w:lineRule="auto"/>
        <w:ind w:left="992" w:hanging="502"/>
        <w:jc w:val="both"/>
        <w:rPr>
          <w:rFonts w:ascii="Arial" w:hAnsi="Arial"/>
          <w:noProof w:val="0"/>
        </w:rPr>
      </w:pPr>
      <w:r>
        <w:rPr>
          <w:rFonts w:ascii="Arial" w:hAnsi="Arial"/>
          <w:noProof w:val="0"/>
          <w:rtl/>
        </w:rPr>
        <w:t xml:space="preserve">המונח "חליפתה" הנזכר ברישא לסעיף 4 לצוואה מתייחס למקרה בו בני הזוג היו בוחרים למכור את הדירה בחייהם, ולרכוש תחתיה דירה אחרת. ברם לא כך אירע </w:t>
      </w:r>
      <w:proofErr w:type="spellStart"/>
      <w:r>
        <w:rPr>
          <w:rFonts w:ascii="Arial" w:hAnsi="Arial"/>
          <w:noProof w:val="0"/>
          <w:rtl/>
        </w:rPr>
        <w:t>בנדוננו</w:t>
      </w:r>
      <w:proofErr w:type="spellEnd"/>
      <w:r>
        <w:rPr>
          <w:rFonts w:ascii="Arial" w:hAnsi="Arial"/>
          <w:noProof w:val="0"/>
          <w:rtl/>
        </w:rPr>
        <w:t>, שכן המנוחה נפטרה טרם מכרו בני הזוג את הדירה, ואין חולק שבפועל לא נרכשה דירה אחרת.</w:t>
      </w:r>
    </w:p>
    <w:p w:rsidR="00284A82" w:rsidRDefault="00284A82" w:rsidP="00284A82">
      <w:pPr>
        <w:pStyle w:val="a3"/>
        <w:numPr>
          <w:ilvl w:val="0"/>
          <w:numId w:val="5"/>
        </w:numPr>
        <w:spacing w:line="360" w:lineRule="auto"/>
        <w:ind w:left="992" w:hanging="502"/>
        <w:jc w:val="both"/>
        <w:rPr>
          <w:rFonts w:ascii="Arial" w:hAnsi="Arial"/>
          <w:noProof w:val="0"/>
        </w:rPr>
      </w:pPr>
      <w:r>
        <w:rPr>
          <w:rFonts w:ascii="Arial" w:hAnsi="Arial"/>
          <w:noProof w:val="0"/>
          <w:rtl/>
        </w:rPr>
        <w:t>הנתבעים אינם מתנגדים למכירת הדירה, ברם ברצונם לשמור על מלוא זכויותיהם.</w:t>
      </w:r>
    </w:p>
    <w:p w:rsidR="00284A82" w:rsidRDefault="00284A82" w:rsidP="00284A82">
      <w:pPr>
        <w:spacing w:line="360" w:lineRule="auto"/>
        <w:jc w:val="both"/>
        <w:rPr>
          <w:rFonts w:ascii="Arial" w:hAnsi="Arial"/>
          <w:noProof w:val="0"/>
        </w:rPr>
      </w:pPr>
    </w:p>
    <w:p w:rsidR="00284A82" w:rsidRDefault="00284A82" w:rsidP="00284A82">
      <w:pPr>
        <w:spacing w:line="360" w:lineRule="auto"/>
        <w:jc w:val="both"/>
        <w:rPr>
          <w:rFonts w:ascii="Arial" w:hAnsi="Arial"/>
          <w:noProof w:val="0"/>
        </w:rPr>
      </w:pPr>
      <w:r>
        <w:rPr>
          <w:rFonts w:ascii="Arial" w:hAnsi="Arial"/>
          <w:b/>
          <w:bCs/>
          <w:noProof w:val="0"/>
          <w:sz w:val="28"/>
          <w:szCs w:val="28"/>
          <w:u w:val="single"/>
          <w:rtl/>
        </w:rPr>
        <w:t>דיון והכרעה</w:t>
      </w:r>
    </w:p>
    <w:p w:rsidR="00284A82" w:rsidRDefault="00284A82" w:rsidP="00284A82">
      <w:pPr>
        <w:spacing w:line="360" w:lineRule="auto"/>
        <w:jc w:val="both"/>
        <w:rPr>
          <w:rFonts w:ascii="Arial" w:hAnsi="Arial"/>
          <w:noProof w:val="0"/>
          <w:rtl/>
        </w:rPr>
      </w:pPr>
    </w:p>
    <w:p w:rsidR="00284A82" w:rsidRDefault="00284A82" w:rsidP="00284A82">
      <w:pPr>
        <w:pStyle w:val="a3"/>
        <w:numPr>
          <w:ilvl w:val="0"/>
          <w:numId w:val="6"/>
        </w:numPr>
        <w:spacing w:line="360" w:lineRule="auto"/>
        <w:jc w:val="both"/>
        <w:rPr>
          <w:rFonts w:ascii="Arial" w:hAnsi="Arial"/>
          <w:b/>
          <w:bCs/>
          <w:noProof w:val="0"/>
          <w:sz w:val="26"/>
          <w:szCs w:val="26"/>
          <w:u w:val="single"/>
        </w:rPr>
      </w:pPr>
      <w:r>
        <w:rPr>
          <w:rFonts w:ascii="Arial" w:hAnsi="Arial"/>
          <w:b/>
          <w:bCs/>
          <w:noProof w:val="0"/>
          <w:sz w:val="26"/>
          <w:szCs w:val="26"/>
          <w:u w:val="single"/>
          <w:rtl/>
        </w:rPr>
        <w:t>התביעה הכספית</w:t>
      </w:r>
    </w:p>
    <w:p w:rsidR="00284A82" w:rsidRDefault="00284A82" w:rsidP="00284A82">
      <w:pPr>
        <w:spacing w:line="360" w:lineRule="auto"/>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ההכרעה הנדרשת בתובענה זו הינה בשאלה האם יש מקום לחייב את הנתבעים להעביר לתובע את תגמולי הביטוח ששולמו להם ביום 10/10/2018 ע"י חברת הביטוח, וזאת על יסוד טענת התובע לפיה זכותו כיורש לקבלת כספים אלה </w:t>
      </w:r>
      <w:proofErr w:type="spellStart"/>
      <w:r>
        <w:rPr>
          <w:rFonts w:ascii="Arial" w:hAnsi="Arial"/>
          <w:noProof w:val="0"/>
          <w:rtl/>
        </w:rPr>
        <w:t>מכח</w:t>
      </w:r>
      <w:proofErr w:type="spellEnd"/>
      <w:r>
        <w:rPr>
          <w:rFonts w:ascii="Arial" w:hAnsi="Arial"/>
          <w:noProof w:val="0"/>
          <w:rtl/>
        </w:rPr>
        <w:t xml:space="preserve"> הוראות סעיף 6 לצוואה גוברת על זכותם של הנתבעים לקבלת הכספים </w:t>
      </w:r>
      <w:proofErr w:type="spellStart"/>
      <w:r>
        <w:rPr>
          <w:rFonts w:ascii="Arial" w:hAnsi="Arial"/>
          <w:noProof w:val="0"/>
          <w:rtl/>
        </w:rPr>
        <w:t>מכח</w:t>
      </w:r>
      <w:proofErr w:type="spellEnd"/>
      <w:r>
        <w:rPr>
          <w:rFonts w:ascii="Arial" w:hAnsi="Arial"/>
          <w:noProof w:val="0"/>
          <w:rtl/>
        </w:rPr>
        <w:t xml:space="preserve"> הוראת המוטבים שנחתמה קודם לכן ע"י המנוחה.</w:t>
      </w:r>
    </w:p>
    <w:p w:rsidR="00284A82" w:rsidRDefault="00284A82" w:rsidP="00284A82">
      <w:pPr>
        <w:pStyle w:val="a3"/>
        <w:spacing w:line="360" w:lineRule="auto"/>
        <w:ind w:left="425"/>
        <w:jc w:val="both"/>
        <w:rPr>
          <w:rFonts w:ascii="Arial" w:hAnsi="Arial"/>
          <w:noProof w:val="0"/>
        </w:rPr>
      </w:pPr>
    </w:p>
    <w:p w:rsidR="00284A82" w:rsidRDefault="00284A82" w:rsidP="00284A82">
      <w:pPr>
        <w:spacing w:line="360" w:lineRule="auto"/>
        <w:jc w:val="both"/>
        <w:rPr>
          <w:rFonts w:ascii="Arial" w:hAnsi="Arial"/>
          <w:b/>
          <w:bCs/>
          <w:noProof w:val="0"/>
          <w:u w:val="single"/>
        </w:rPr>
      </w:pPr>
      <w:r>
        <w:rPr>
          <w:rFonts w:ascii="Arial" w:hAnsi="Arial"/>
          <w:b/>
          <w:bCs/>
          <w:noProof w:val="0"/>
          <w:u w:val="single"/>
          <w:rtl/>
        </w:rPr>
        <w:t>המתווה הנורמטיבי</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שתי הוראות חוק נוגעות למחלוקת </w:t>
      </w:r>
      <w:proofErr w:type="spellStart"/>
      <w:r>
        <w:rPr>
          <w:rFonts w:ascii="Arial" w:hAnsi="Arial"/>
          <w:noProof w:val="0"/>
          <w:rtl/>
        </w:rPr>
        <w:t>שבנדוננו</w:t>
      </w:r>
      <w:proofErr w:type="spellEnd"/>
      <w:r>
        <w:rPr>
          <w:rFonts w:ascii="Arial" w:hAnsi="Arial"/>
          <w:noProof w:val="0"/>
          <w:rtl/>
        </w:rPr>
        <w:t>:</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spacing w:line="360" w:lineRule="auto"/>
        <w:ind w:left="425"/>
        <w:jc w:val="both"/>
        <w:rPr>
          <w:rFonts w:ascii="Arial" w:hAnsi="Arial"/>
          <w:noProof w:val="0"/>
        </w:rPr>
      </w:pPr>
      <w:r>
        <w:rPr>
          <w:rFonts w:ascii="Arial" w:hAnsi="Arial"/>
          <w:noProof w:val="0"/>
          <w:rtl/>
        </w:rPr>
        <w:t>הכלל בנוגע לכספים שיש לשלם עם פטירתו של אדם נקבע בס' 147 לחוק הירושה, וכהאי לישנא:</w:t>
      </w:r>
    </w:p>
    <w:p w:rsidR="00284A82" w:rsidRDefault="00284A82" w:rsidP="00284A82">
      <w:pPr>
        <w:pStyle w:val="a3"/>
        <w:rPr>
          <w:rFonts w:ascii="Arial" w:hAnsi="Arial"/>
          <w:noProof w:val="0"/>
          <w:rtl/>
        </w:rPr>
      </w:pPr>
    </w:p>
    <w:p w:rsidR="00284A82" w:rsidRDefault="00284A82" w:rsidP="00284A82">
      <w:pPr>
        <w:pStyle w:val="a3"/>
        <w:spacing w:line="360" w:lineRule="auto"/>
        <w:ind w:left="1417" w:right="1418" w:hanging="992"/>
        <w:jc w:val="both"/>
        <w:rPr>
          <w:rFonts w:ascii="Arial" w:hAnsi="Arial"/>
          <w:b/>
          <w:bCs/>
          <w:i/>
          <w:iCs/>
          <w:noProof w:val="0"/>
          <w:rtl/>
        </w:rPr>
      </w:pPr>
      <w:r>
        <w:rPr>
          <w:rFonts w:ascii="Arial" w:hAnsi="Arial"/>
          <w:b/>
          <w:bCs/>
          <w:i/>
          <w:iCs/>
          <w:noProof w:val="0"/>
          <w:rtl/>
        </w:rPr>
        <w:t xml:space="preserve">              " סכומים שיש לשלם עקב מותו של אדם על פי חוזה ביטוח, על פי חברות בקופת </w:t>
      </w:r>
      <w:proofErr w:type="spellStart"/>
      <w:r>
        <w:rPr>
          <w:rFonts w:ascii="Arial" w:hAnsi="Arial"/>
          <w:b/>
          <w:bCs/>
          <w:i/>
          <w:iCs/>
          <w:noProof w:val="0"/>
          <w:rtl/>
        </w:rPr>
        <w:t>קיצבה</w:t>
      </w:r>
      <w:proofErr w:type="spellEnd"/>
      <w:r>
        <w:rPr>
          <w:rFonts w:ascii="Arial" w:hAnsi="Arial"/>
          <w:b/>
          <w:bCs/>
          <w:i/>
          <w:iCs/>
          <w:noProof w:val="0"/>
          <w:rtl/>
        </w:rPr>
        <w:t xml:space="preserve"> או בקופת תגמולים או על פי עילה דומה, אינם בכלל </w:t>
      </w:r>
      <w:proofErr w:type="spellStart"/>
      <w:r>
        <w:rPr>
          <w:rFonts w:ascii="Arial" w:hAnsi="Arial"/>
          <w:b/>
          <w:bCs/>
          <w:i/>
          <w:iCs/>
          <w:noProof w:val="0"/>
          <w:rtl/>
        </w:rPr>
        <w:t>העזבון</w:t>
      </w:r>
      <w:proofErr w:type="spellEnd"/>
      <w:r>
        <w:rPr>
          <w:rFonts w:ascii="Arial" w:hAnsi="Arial"/>
          <w:b/>
          <w:bCs/>
          <w:i/>
          <w:iCs/>
          <w:noProof w:val="0"/>
          <w:rtl/>
        </w:rPr>
        <w:t xml:space="preserve">, זולת אם הותנה שהם מגיעים </w:t>
      </w:r>
      <w:proofErr w:type="spellStart"/>
      <w:r>
        <w:rPr>
          <w:rFonts w:ascii="Arial" w:hAnsi="Arial"/>
          <w:b/>
          <w:bCs/>
          <w:i/>
          <w:iCs/>
          <w:noProof w:val="0"/>
          <w:rtl/>
        </w:rPr>
        <w:t>לעזבון</w:t>
      </w:r>
      <w:proofErr w:type="spellEnd"/>
      <w:r>
        <w:rPr>
          <w:rFonts w:ascii="Arial" w:hAnsi="Arial"/>
          <w:b/>
          <w:bCs/>
          <w:i/>
          <w:iCs/>
          <w:noProof w:val="0"/>
          <w:rtl/>
        </w:rPr>
        <w:t>."</w:t>
      </w:r>
    </w:p>
    <w:p w:rsidR="00284A82" w:rsidRDefault="00284A82" w:rsidP="00284A82">
      <w:pPr>
        <w:pStyle w:val="a3"/>
        <w:rPr>
          <w:rFonts w:ascii="Arial" w:hAnsi="Arial"/>
          <w:noProof w:val="0"/>
          <w:rtl/>
        </w:rPr>
      </w:pPr>
    </w:p>
    <w:p w:rsidR="00284A82" w:rsidRDefault="00284A82" w:rsidP="00284A82">
      <w:pPr>
        <w:pStyle w:val="a3"/>
        <w:spacing w:line="360" w:lineRule="auto"/>
        <w:ind w:left="425"/>
        <w:jc w:val="both"/>
        <w:rPr>
          <w:rFonts w:ascii="Arial" w:hAnsi="Arial"/>
          <w:noProof w:val="0"/>
        </w:rPr>
      </w:pPr>
      <w:r>
        <w:rPr>
          <w:rFonts w:ascii="Arial" w:hAnsi="Arial"/>
          <w:noProof w:val="0"/>
          <w:rtl/>
        </w:rPr>
        <w:t>בעוד שבסעיף 36 (ב) לחוק החוזים (חלק כללי), תשל"ג-1973, נקבע כלהלן:</w:t>
      </w:r>
    </w:p>
    <w:p w:rsidR="00284A82" w:rsidRDefault="00284A82" w:rsidP="00284A82">
      <w:pPr>
        <w:spacing w:line="360" w:lineRule="auto"/>
        <w:jc w:val="both"/>
        <w:rPr>
          <w:rFonts w:ascii="Arial" w:hAnsi="Arial"/>
          <w:noProof w:val="0"/>
          <w:rtl/>
        </w:rPr>
      </w:pPr>
    </w:p>
    <w:p w:rsidR="00284A82" w:rsidRDefault="00284A82" w:rsidP="00284A82">
      <w:pPr>
        <w:pStyle w:val="a3"/>
        <w:spacing w:line="360" w:lineRule="auto"/>
        <w:ind w:left="1417" w:right="1418" w:hanging="992"/>
        <w:jc w:val="both"/>
        <w:rPr>
          <w:rFonts w:ascii="Arial" w:hAnsi="Arial"/>
          <w:noProof w:val="0"/>
          <w:rtl/>
        </w:rPr>
      </w:pPr>
      <w:r>
        <w:rPr>
          <w:rFonts w:ascii="Arial" w:hAnsi="Arial"/>
          <w:b/>
          <w:bCs/>
          <w:i/>
          <w:iCs/>
          <w:noProof w:val="0"/>
          <w:rtl/>
        </w:rPr>
        <w:t xml:space="preserve">              " בחיוב שיש לקיימו עקב מותו של אדם – על פי חוזה ביטוח, על פי חברות בקופת קצבה או בקופת תגמולים או על פי עילה דומה – רשאי הנושה, בהודעה לחייב או בצוואה שהודעה עליה ניתנה לחייב, לבטל את זכותו של המוטב או להעמיד במקומו מוטב אחר, אף אחרי שנודע למוטב על זכותו."</w:t>
      </w:r>
      <w:r>
        <w:rPr>
          <w:rFonts w:ascii="Arial" w:hAnsi="Arial"/>
          <w:noProof w:val="0"/>
          <w:rtl/>
        </w:rPr>
        <w:t xml:space="preserve">  </w:t>
      </w:r>
    </w:p>
    <w:p w:rsidR="00284A82" w:rsidRDefault="00284A82" w:rsidP="00284A82">
      <w:pPr>
        <w:pStyle w:val="a3"/>
        <w:spacing w:line="360" w:lineRule="auto"/>
        <w:ind w:left="1417" w:right="1418" w:hanging="992"/>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tl/>
        </w:rPr>
      </w:pPr>
      <w:r>
        <w:rPr>
          <w:rFonts w:ascii="Arial" w:hAnsi="Arial"/>
          <w:noProof w:val="0"/>
          <w:rtl/>
        </w:rPr>
        <w:t xml:space="preserve">סעיף 147 לחוק הירושה קובע כי הכלל הוא שכספי חוזה ביטוח המתקבלים עקב מותו של אדם, (כגון הכספים שבמחלוקת </w:t>
      </w:r>
      <w:proofErr w:type="spellStart"/>
      <w:r>
        <w:rPr>
          <w:rFonts w:ascii="Arial" w:hAnsi="Arial"/>
          <w:noProof w:val="0"/>
          <w:rtl/>
        </w:rPr>
        <w:t>בנדוננו</w:t>
      </w:r>
      <w:proofErr w:type="spellEnd"/>
      <w:r>
        <w:rPr>
          <w:rFonts w:ascii="Arial" w:hAnsi="Arial"/>
          <w:noProof w:val="0"/>
          <w:rtl/>
        </w:rPr>
        <w:t>) אינם נכללים בגדר נכסי העיזבון, דהיינו לא חלים עליהם דיני הירושה, וכספים אלה ישולמו עפ"י הוראת המוטבים שנתן המנוח בחייו. היוצא מן הכלל הקבוע בסעיף זה הוא שבעל הפוליסה יכול להתנות שהכספים מגיעים לעיזבון.</w:t>
      </w:r>
    </w:p>
    <w:p w:rsidR="00284A82" w:rsidRDefault="00284A82" w:rsidP="00284A82">
      <w:pPr>
        <w:spacing w:line="360" w:lineRule="auto"/>
        <w:ind w:left="425"/>
        <w:jc w:val="both"/>
        <w:rPr>
          <w:rFonts w:ascii="Arial" w:hAnsi="Arial"/>
          <w:noProof w:val="0"/>
          <w:rtl/>
        </w:rPr>
      </w:pPr>
      <w:r>
        <w:rPr>
          <w:rFonts w:ascii="Arial" w:hAnsi="Arial"/>
          <w:noProof w:val="0"/>
          <w:rtl/>
        </w:rPr>
        <w:t xml:space="preserve">בסעיף 36(ב) לחוק החוזים נקבע שבעל הפוליסה ("הנושה") רשאי </w:t>
      </w:r>
      <w:proofErr w:type="spellStart"/>
      <w:r>
        <w:rPr>
          <w:rFonts w:ascii="Arial" w:hAnsi="Arial"/>
          <w:noProof w:val="0"/>
          <w:rtl/>
        </w:rPr>
        <w:t>ליתן</w:t>
      </w:r>
      <w:proofErr w:type="spellEnd"/>
      <w:r>
        <w:rPr>
          <w:rFonts w:ascii="Arial" w:hAnsi="Arial"/>
          <w:noProof w:val="0"/>
          <w:rtl/>
        </w:rPr>
        <w:t xml:space="preserve"> הודעה לחברת הביטוח (החייב") בדבר שינוי או ביטול הוראת המוטבים, וזאת הן באמצעות מתן הודעה לחברת הביטוח והן באמצעות צוואה.</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בפסיקה נקבע כי בעל חוזה הביטוח ("הנושה") רשאי לבטל/לשנות את הוראת המוטבים באחת משתי הדרכים הבאות: </w:t>
      </w:r>
      <w:r>
        <w:rPr>
          <w:rFonts w:ascii="Arial" w:hAnsi="Arial"/>
          <w:b/>
          <w:bCs/>
          <w:noProof w:val="0"/>
          <w:rtl/>
        </w:rPr>
        <w:t>(א)</w:t>
      </w:r>
      <w:r>
        <w:rPr>
          <w:rFonts w:ascii="Arial" w:hAnsi="Arial"/>
          <w:noProof w:val="0"/>
          <w:rtl/>
        </w:rPr>
        <w:t xml:space="preserve"> באמצעות משלוח הודעה לחברת הביטוח ("החייב"). </w:t>
      </w:r>
      <w:r>
        <w:rPr>
          <w:rFonts w:ascii="Arial" w:hAnsi="Arial"/>
          <w:b/>
          <w:bCs/>
          <w:noProof w:val="0"/>
          <w:rtl/>
        </w:rPr>
        <w:t>(ב)</w:t>
      </w:r>
      <w:r>
        <w:rPr>
          <w:rFonts w:ascii="Arial" w:hAnsi="Arial"/>
          <w:noProof w:val="0"/>
          <w:rtl/>
        </w:rPr>
        <w:t xml:space="preserve"> בדרך של עריכת צוואה שהודעה עליה ניתנה לחברת הביטוח (וראו לעניין זה ע"א 3807/90 </w:t>
      </w:r>
      <w:r>
        <w:rPr>
          <w:rFonts w:ascii="Arial" w:hAnsi="Arial"/>
          <w:b/>
          <w:bCs/>
          <w:noProof w:val="0"/>
          <w:rtl/>
        </w:rPr>
        <w:t>מירי פישר נ' תמר קופת תגמולים מרכזית ליד בנק דיסקונט לישראל בע"מ</w:t>
      </w:r>
      <w:r>
        <w:rPr>
          <w:rFonts w:ascii="Arial" w:hAnsi="Arial"/>
          <w:noProof w:val="0"/>
          <w:rtl/>
        </w:rPr>
        <w:t xml:space="preserve"> (פורסם במאגרים [פורסם בנבו] מיום 4.10.93) (להלן: "</w:t>
      </w:r>
      <w:r>
        <w:rPr>
          <w:rFonts w:ascii="Arial" w:hAnsi="Arial"/>
          <w:b/>
          <w:bCs/>
          <w:i/>
          <w:iCs/>
          <w:noProof w:val="0"/>
          <w:rtl/>
        </w:rPr>
        <w:t>הלכת פישר</w:t>
      </w:r>
      <w:r>
        <w:rPr>
          <w:rFonts w:ascii="Arial" w:hAnsi="Arial"/>
          <w:noProof w:val="0"/>
          <w:rtl/>
        </w:rPr>
        <w:t>").</w:t>
      </w: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בהלכת פישר נקבע כי שינוי המוטבים, במובן הוראת סעיף 36(ב) לחוק החוזים, חייב להיעשות בדרך של מתן הודעה לקופה </w:t>
      </w:r>
      <w:r>
        <w:rPr>
          <w:rFonts w:ascii="Arial" w:hAnsi="Arial"/>
          <w:noProof w:val="0"/>
          <w:u w:val="single"/>
          <w:rtl/>
        </w:rPr>
        <w:t>עוד בחייו של המצווה</w:t>
      </w:r>
      <w:r>
        <w:rPr>
          <w:rFonts w:ascii="Arial" w:hAnsi="Arial"/>
          <w:noProof w:val="0"/>
          <w:rtl/>
        </w:rPr>
        <w:t>.</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כב' השופט שמגר קבע, בהלכת פישר הנ"ל, שלא ניתן להסתפק בהכללתה של הוראה בדבר ביטול זכותו של מוטב במסגרת הצוואה, אלא שיש למסור על כך, על אתר, הודעה לחברת הביטוח/הקופה- </w:t>
      </w:r>
      <w:proofErr w:type="spellStart"/>
      <w:r>
        <w:rPr>
          <w:rFonts w:ascii="Arial" w:hAnsi="Arial"/>
          <w:noProof w:val="0"/>
          <w:rtl/>
        </w:rPr>
        <w:t>וכלהלן</w:t>
      </w:r>
      <w:proofErr w:type="spellEnd"/>
      <w:r>
        <w:rPr>
          <w:rFonts w:ascii="Arial" w:hAnsi="Arial"/>
          <w:noProof w:val="0"/>
          <w:rtl/>
        </w:rPr>
        <w:t xml:space="preserve">: </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spacing w:line="360" w:lineRule="auto"/>
        <w:ind w:left="1417" w:right="1418" w:hanging="992"/>
        <w:jc w:val="both"/>
        <w:rPr>
          <w:rFonts w:ascii="Arial" w:hAnsi="Arial"/>
          <w:b/>
          <w:bCs/>
          <w:i/>
          <w:iCs/>
          <w:noProof w:val="0"/>
          <w:rtl/>
        </w:rPr>
      </w:pPr>
      <w:r>
        <w:rPr>
          <w:rFonts w:ascii="Arial" w:hAnsi="Arial"/>
          <w:b/>
          <w:bCs/>
          <w:i/>
          <w:iCs/>
          <w:noProof w:val="0"/>
          <w:rtl/>
        </w:rPr>
        <w:t xml:space="preserve">           " ...במילים אחרות, אם מוכנים לראות בהוראה שבצוואה התניה לצורכי סעיף 147 לחוק הירושה, הרי התניה זאת צריכה למצוא ביטויה בהסדר החוזי בין החייב לבין הנושה היוצר את מערכת הזכויות והחובות של חבר בקופה ושל הקופה. בעת הצטרפות </w:t>
      </w:r>
      <w:r>
        <w:rPr>
          <w:rFonts w:ascii="Arial" w:hAnsi="Arial"/>
          <w:b/>
          <w:bCs/>
          <w:i/>
          <w:iCs/>
          <w:noProof w:val="0"/>
          <w:rtl/>
        </w:rPr>
        <w:lastRenderedPageBreak/>
        <w:t>לקופה נערך גם המסמך המציין את שמו של המוטב, ואם מבקשים לקבוע כי העיזבון הוא המוטב, לא ניתן לשמור זאת בסוד עד לפטירתו של הנושה ופתיחת הצוואה, כי ההסדר לפי סעיף 147 יהיה חסר."</w:t>
      </w:r>
    </w:p>
    <w:p w:rsidR="00284A82" w:rsidRDefault="00284A82" w:rsidP="00284A82">
      <w:pPr>
        <w:spacing w:line="360" w:lineRule="auto"/>
        <w:ind w:right="1418" w:firstLine="425"/>
        <w:jc w:val="both"/>
        <w:rPr>
          <w:rFonts w:ascii="Arial" w:hAnsi="Arial"/>
          <w:noProof w:val="0"/>
          <w:rtl/>
        </w:rPr>
      </w:pPr>
    </w:p>
    <w:p w:rsidR="00284A82" w:rsidRDefault="00284A82" w:rsidP="00284A82">
      <w:pPr>
        <w:spacing w:line="360" w:lineRule="auto"/>
        <w:ind w:right="1418" w:firstLine="425"/>
        <w:jc w:val="both"/>
        <w:rPr>
          <w:rFonts w:ascii="Arial" w:hAnsi="Arial"/>
          <w:noProof w:val="0"/>
          <w:rtl/>
        </w:rPr>
      </w:pPr>
      <w:r>
        <w:rPr>
          <w:rFonts w:ascii="Arial" w:hAnsi="Arial"/>
          <w:noProof w:val="0"/>
          <w:rtl/>
        </w:rPr>
        <w:t>ובהמשך:</w:t>
      </w:r>
    </w:p>
    <w:p w:rsidR="00284A82" w:rsidRDefault="00284A82" w:rsidP="00284A82">
      <w:pPr>
        <w:spacing w:line="360" w:lineRule="auto"/>
        <w:ind w:right="1418" w:firstLine="425"/>
        <w:jc w:val="both"/>
        <w:rPr>
          <w:rFonts w:ascii="Arial" w:hAnsi="Arial"/>
          <w:noProof w:val="0"/>
          <w:rtl/>
        </w:rPr>
      </w:pPr>
    </w:p>
    <w:p w:rsidR="00284A82" w:rsidRDefault="00284A82" w:rsidP="00284A82">
      <w:pPr>
        <w:pStyle w:val="a3"/>
        <w:spacing w:line="360" w:lineRule="auto"/>
        <w:ind w:left="1417" w:right="1418" w:hanging="992"/>
        <w:jc w:val="both"/>
        <w:rPr>
          <w:rFonts w:ascii="Arial" w:hAnsi="Arial"/>
          <w:b/>
          <w:bCs/>
          <w:i/>
          <w:iCs/>
          <w:noProof w:val="0"/>
          <w:rtl/>
        </w:rPr>
      </w:pPr>
      <w:r>
        <w:rPr>
          <w:rFonts w:ascii="Arial" w:hAnsi="Arial"/>
          <w:b/>
          <w:bCs/>
          <w:i/>
          <w:iCs/>
          <w:noProof w:val="0"/>
          <w:rtl/>
        </w:rPr>
        <w:t xml:space="preserve">              " בהקשר זה אוסיף, לשם הסרת ספק, שהמדיניות המשפטית הרצויה צריכה להיות שהתניות וביטולי הוראות לפי סעיפים 147 ו- 36(ב) הנ"ל, מן הנכון שיהיו בנוסח ברור וחד-משמעי, כדי למנוע ספקות, תהיות ואי-הבנות ואף תביעות בעקבות תשלומי כפל בלתי מוצדקים."</w:t>
      </w:r>
    </w:p>
    <w:p w:rsidR="00284A82" w:rsidRDefault="00284A82" w:rsidP="00284A82">
      <w:pPr>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יחד עם זאת, בפסיקה מאוחרת יותר הובעה גישה שונה באשר לאפשרות לשינוי הוראת המוטבים באמצעות שליחת הצוואה גם </w:t>
      </w:r>
      <w:r>
        <w:rPr>
          <w:rFonts w:ascii="Arial" w:hAnsi="Arial"/>
          <w:noProof w:val="0"/>
          <w:u w:val="single"/>
          <w:rtl/>
        </w:rPr>
        <w:t>לאחר</w:t>
      </w:r>
      <w:r>
        <w:rPr>
          <w:rFonts w:ascii="Arial" w:hAnsi="Arial"/>
          <w:noProof w:val="0"/>
          <w:rtl/>
        </w:rPr>
        <w:t xml:space="preserve"> פטירת העמית. בפסק הדין שניתן בע"א 233/98 </w:t>
      </w:r>
      <w:r>
        <w:rPr>
          <w:rFonts w:ascii="Arial" w:hAnsi="Arial"/>
          <w:b/>
          <w:bCs/>
          <w:noProof w:val="0"/>
          <w:rtl/>
        </w:rPr>
        <w:t>שושנה כץ נ' קרן מקפת ואח'</w:t>
      </w:r>
      <w:r>
        <w:rPr>
          <w:rFonts w:ascii="Arial" w:hAnsi="Arial"/>
          <w:noProof w:val="0"/>
          <w:rtl/>
        </w:rPr>
        <w:t xml:space="preserve">  (ניתן ביום 22.11.00)[פורסם בנבו] סקר כב' השופט </w:t>
      </w:r>
      <w:proofErr w:type="spellStart"/>
      <w:r>
        <w:rPr>
          <w:rFonts w:ascii="Arial" w:hAnsi="Arial"/>
          <w:noProof w:val="0"/>
          <w:rtl/>
        </w:rPr>
        <w:t>אנגלרד</w:t>
      </w:r>
      <w:proofErr w:type="spellEnd"/>
      <w:r>
        <w:rPr>
          <w:rFonts w:ascii="Arial" w:hAnsi="Arial"/>
          <w:noProof w:val="0"/>
          <w:rtl/>
        </w:rPr>
        <w:t xml:space="preserve"> את הגישות השונות והביע עמדה לפיה: "</w:t>
      </w:r>
      <w:r>
        <w:rPr>
          <w:rFonts w:ascii="Arial" w:hAnsi="Arial"/>
          <w:b/>
          <w:bCs/>
          <w:i/>
          <w:iCs/>
          <w:noProof w:val="0"/>
          <w:rtl/>
        </w:rPr>
        <w:t>לא אכחש כי דעתי נוטה לאלה הגורסים כי במקרה של צוואה, אין צורך כי ההודעה עליה תינתן לקרן בחייו של המנוח</w:t>
      </w:r>
      <w:r>
        <w:rPr>
          <w:rFonts w:ascii="Arial" w:hAnsi="Arial"/>
          <w:noProof w:val="0"/>
          <w:rtl/>
        </w:rPr>
        <w:t>".</w:t>
      </w:r>
    </w:p>
    <w:p w:rsidR="00284A82" w:rsidRDefault="00284A82" w:rsidP="00284A82">
      <w:pPr>
        <w:pStyle w:val="a3"/>
        <w:spacing w:line="360" w:lineRule="auto"/>
        <w:ind w:left="425"/>
        <w:jc w:val="both"/>
        <w:rPr>
          <w:rFonts w:ascii="Arial" w:hAnsi="Arial"/>
          <w:noProof w:val="0"/>
          <w:sz w:val="16"/>
          <w:szCs w:val="16"/>
          <w:rtl/>
        </w:rPr>
      </w:pPr>
    </w:p>
    <w:p w:rsidR="00284A82" w:rsidRDefault="00284A82" w:rsidP="00284A82">
      <w:pPr>
        <w:pStyle w:val="a3"/>
        <w:spacing w:line="360" w:lineRule="auto"/>
        <w:ind w:left="425"/>
        <w:jc w:val="both"/>
        <w:rPr>
          <w:rFonts w:ascii="Arial" w:hAnsi="Arial"/>
          <w:noProof w:val="0"/>
        </w:rPr>
      </w:pPr>
      <w:proofErr w:type="spellStart"/>
      <w:r>
        <w:rPr>
          <w:rFonts w:ascii="Arial" w:hAnsi="Arial"/>
          <w:noProof w:val="0"/>
          <w:rtl/>
        </w:rPr>
        <w:t>בתמ"ש</w:t>
      </w:r>
      <w:proofErr w:type="spellEnd"/>
      <w:r>
        <w:rPr>
          <w:rFonts w:ascii="Arial" w:hAnsi="Arial"/>
          <w:noProof w:val="0"/>
          <w:rtl/>
        </w:rPr>
        <w:t xml:space="preserve"> (ת"א) 10421-06-12 </w:t>
      </w:r>
      <w:r>
        <w:rPr>
          <w:rFonts w:ascii="Arial" w:hAnsi="Arial"/>
          <w:b/>
          <w:bCs/>
          <w:noProof w:val="0"/>
          <w:rtl/>
        </w:rPr>
        <w:t>ד"ר י' נ' עיזבון המנוחה ט'</w:t>
      </w:r>
      <w:r>
        <w:rPr>
          <w:rFonts w:ascii="Arial" w:hAnsi="Arial"/>
          <w:noProof w:val="0"/>
          <w:rtl/>
        </w:rPr>
        <w:t>, [פורסם בנבו] קבע כב' השופט נפתלי שילה כי יש לבחון בנוסף גם באם תקנון הקופה/חברת הביטוח נקבעה הוראה המאפשרת משלוח הודעה בדבר שינוי הוראת המוטבים גם לאחר הפטירה. (וראו לעניין זה גם פסק דינה של כב' השופטת אייזנברג ת"ע (חיפה) 37083-03-13 </w:t>
      </w:r>
      <w:r>
        <w:rPr>
          <w:rFonts w:ascii="Arial" w:hAnsi="Arial"/>
          <w:b/>
          <w:bCs/>
          <w:noProof w:val="0"/>
          <w:rtl/>
        </w:rPr>
        <w:t>עיזבון המנוח ד' ב' ז"ל ב' נ' כ' ב'</w:t>
      </w:r>
      <w:r>
        <w:rPr>
          <w:rFonts w:ascii="Arial" w:hAnsi="Arial"/>
          <w:noProof w:val="0"/>
        </w:rPr>
        <w:t> </w:t>
      </w:r>
      <w:r>
        <w:rPr>
          <w:rFonts w:ascii="Arial" w:hAnsi="Arial"/>
          <w:noProof w:val="0"/>
          <w:rtl/>
        </w:rPr>
        <w:t xml:space="preserve">(פורסם בנבו 23.04.2014)). </w:t>
      </w:r>
    </w:p>
    <w:p w:rsidR="00284A82" w:rsidRDefault="00284A82" w:rsidP="00284A82">
      <w:pPr>
        <w:pStyle w:val="a3"/>
        <w:spacing w:line="360" w:lineRule="auto"/>
        <w:ind w:left="1417" w:right="1418" w:hanging="992"/>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tl/>
        </w:rPr>
      </w:pPr>
      <w:r>
        <w:rPr>
          <w:rFonts w:ascii="Arial" w:hAnsi="Arial"/>
          <w:noProof w:val="0"/>
          <w:rtl/>
        </w:rPr>
        <w:t xml:space="preserve">הגישה לפיה ניתן לראות בצוואה שהועברה לחברת הביטוח רק לאחר מות העמית כהודעה תקפה עפ"י סעיף 36(ב) הנ"ל, אומצה גם על ידי חלק מהלומדים (וראו לעניין זה ספרה של פרופ' ג. שלו "דיני חוזים", מהדורה שניה, בעמ' 450, בספרו של פרופ' שילה "פירוש לחוק הירושה", כרך ג' בעמ' 407, וכן בספרם של השופטים שוחט וגולדברג ועו"ד </w:t>
      </w:r>
      <w:proofErr w:type="spellStart"/>
      <w:r>
        <w:rPr>
          <w:rFonts w:ascii="Arial" w:hAnsi="Arial"/>
          <w:noProof w:val="0"/>
          <w:rtl/>
        </w:rPr>
        <w:t>פלומין</w:t>
      </w:r>
      <w:proofErr w:type="spellEnd"/>
      <w:r>
        <w:rPr>
          <w:rFonts w:ascii="Arial" w:hAnsi="Arial"/>
          <w:noProof w:val="0"/>
          <w:rtl/>
        </w:rPr>
        <w:t xml:space="preserve"> "דיני ירושה ועיזבון", מהדורה שישית בעמ' 318). מנגד, מלומדים אחרים תמכו בגישה התואמת את הלכת פישר (ראו לעניין זה מאמרו של פרופ' דודי שוורץ, "שינוי המוטב בקופת גמל ובביטוח חיים – דיסהרמוניה בחקיקה ובפסיקה  וישובה", עיוני משפט </w:t>
      </w:r>
      <w:proofErr w:type="spellStart"/>
      <w:r>
        <w:rPr>
          <w:rFonts w:ascii="Arial" w:hAnsi="Arial"/>
          <w:noProof w:val="0"/>
          <w:rtl/>
        </w:rPr>
        <w:t>יז</w:t>
      </w:r>
      <w:proofErr w:type="spellEnd"/>
      <w:r>
        <w:rPr>
          <w:rFonts w:ascii="Arial" w:hAnsi="Arial"/>
          <w:noProof w:val="0"/>
          <w:rtl/>
        </w:rPr>
        <w:t xml:space="preserve"> (2), נובמבר 1992 בעמ' 345).</w:t>
      </w:r>
    </w:p>
    <w:p w:rsidR="00284A82" w:rsidRDefault="00284A82" w:rsidP="00284A82">
      <w:pPr>
        <w:spacing w:line="360" w:lineRule="auto"/>
        <w:jc w:val="both"/>
        <w:rPr>
          <w:rFonts w:ascii="Arial" w:hAnsi="Arial"/>
          <w:noProof w:val="0"/>
          <w:rtl/>
        </w:rPr>
      </w:pPr>
    </w:p>
    <w:p w:rsidR="00284A82" w:rsidRDefault="00284A82" w:rsidP="00284A82">
      <w:pPr>
        <w:pStyle w:val="a3"/>
        <w:spacing w:line="360" w:lineRule="auto"/>
        <w:ind w:left="425"/>
        <w:jc w:val="both"/>
        <w:rPr>
          <w:rFonts w:ascii="Arial" w:hAnsi="Arial"/>
          <w:noProof w:val="0"/>
          <w:rtl/>
        </w:rPr>
      </w:pPr>
      <w:r>
        <w:rPr>
          <w:rFonts w:ascii="Arial" w:hAnsi="Arial"/>
          <w:noProof w:val="0"/>
          <w:rtl/>
        </w:rPr>
        <w:t>נכון למועד זה, בית משפט העליון טרם נדרש להכריע במחלוקת באשר לשתי הגישות הנ"ל.</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מכל מקום, וכעולה גם מטענות התובע עצמו, גם במקרים בהם הפסיקה הכירה באפשרות למשלוח צוואה לחברת הביטוח לאחר פטירת המצווה לצורך שינוי הוראת המוטבים, אזי הבסיס והנימוק לכך בעיקרו היה כיבוד רצונו המאוחר של המצווה, כמשתקף מצוואתו (במקרים בהם הוראת המוטבים קדמה להוראה הצוואתית). </w:t>
      </w:r>
    </w:p>
    <w:p w:rsidR="00284A82" w:rsidRDefault="00284A82" w:rsidP="00284A82">
      <w:pPr>
        <w:pStyle w:val="a3"/>
        <w:rPr>
          <w:rFonts w:ascii="Arial" w:hAnsi="Arial"/>
          <w:noProof w:val="0"/>
        </w:rPr>
      </w:pPr>
    </w:p>
    <w:p w:rsidR="00284A82" w:rsidRDefault="00284A82" w:rsidP="00284A82">
      <w:pPr>
        <w:spacing w:line="360" w:lineRule="auto"/>
        <w:jc w:val="both"/>
        <w:rPr>
          <w:rFonts w:ascii="Arial" w:hAnsi="Arial"/>
          <w:b/>
          <w:bCs/>
          <w:noProof w:val="0"/>
          <w:u w:val="single"/>
        </w:rPr>
      </w:pPr>
      <w:r>
        <w:rPr>
          <w:rFonts w:ascii="Arial" w:hAnsi="Arial"/>
          <w:b/>
          <w:bCs/>
          <w:noProof w:val="0"/>
          <w:u w:val="single"/>
          <w:rtl/>
        </w:rPr>
        <w:t>מן הכלל אל הפרט</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אין מחלוקת כי </w:t>
      </w:r>
      <w:proofErr w:type="spellStart"/>
      <w:r>
        <w:rPr>
          <w:rFonts w:ascii="Arial" w:hAnsi="Arial"/>
          <w:noProof w:val="0"/>
          <w:rtl/>
        </w:rPr>
        <w:t>בנדוננו</w:t>
      </w:r>
      <w:proofErr w:type="spellEnd"/>
      <w:r>
        <w:rPr>
          <w:rFonts w:ascii="Arial" w:hAnsi="Arial"/>
          <w:noProof w:val="0"/>
          <w:rtl/>
        </w:rPr>
        <w:t xml:space="preserve"> הצוואה הועברה לחברת הביטוח רק </w:t>
      </w:r>
      <w:r>
        <w:rPr>
          <w:rFonts w:ascii="Arial" w:hAnsi="Arial"/>
          <w:noProof w:val="0"/>
          <w:u w:val="single"/>
          <w:rtl/>
        </w:rPr>
        <w:t>לאחר</w:t>
      </w:r>
      <w:r>
        <w:rPr>
          <w:rFonts w:ascii="Arial" w:hAnsi="Arial"/>
          <w:noProof w:val="0"/>
          <w:rtl/>
        </w:rPr>
        <w:t xml:space="preserve"> פטירת המנוחה, והמנוחה לא העבירה בחייה העתק הצוואה לחברת הביטוח. בנוסף, אין גם מחלוקת שבסעיף 6 לצוואה ישנה התייחסות ספציפית לכספי ביטוח המנהלים של המנוחה. </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b/>
          <w:bCs/>
          <w:noProof w:val="0"/>
        </w:rPr>
      </w:pPr>
      <w:r>
        <w:rPr>
          <w:rFonts w:ascii="Arial" w:hAnsi="Arial"/>
          <w:noProof w:val="0"/>
          <w:rtl/>
        </w:rPr>
        <w:t xml:space="preserve">כאמור, הרציונל העומד בבסיס הגישה התומכת באפשרות להעברת הצוואה לחברת הביטוח גם לאחר הפטירה, הינו הניסיון לכבד ולקיים את רצונו העדכני של המנוח כמשתקף מצוואתו, וזאת במקרים בהם קיימת אי התאמה בין רצון זה לבין הוראת מוטבים קודמת בזמן. </w:t>
      </w:r>
      <w:r>
        <w:rPr>
          <w:rFonts w:ascii="Arial" w:hAnsi="Arial"/>
          <w:b/>
          <w:bCs/>
          <w:noProof w:val="0"/>
          <w:rtl/>
        </w:rPr>
        <w:t>הנחת המוצא הינה כי הרצון המאוחר המשתקף בצוואה, הוא הרלוונטי, ועל כן יש להעדיפו על פני הוראת מוטבים קודמת בזמן.</w:t>
      </w:r>
    </w:p>
    <w:p w:rsidR="00284A82" w:rsidRDefault="00284A82" w:rsidP="00284A82">
      <w:pPr>
        <w:pStyle w:val="a3"/>
        <w:rPr>
          <w:rFonts w:ascii="Arial" w:hAnsi="Arial"/>
          <w:b/>
          <w:bCs/>
          <w:noProof w:val="0"/>
        </w:rPr>
      </w:pPr>
    </w:p>
    <w:p w:rsidR="00284A82" w:rsidRDefault="00284A82" w:rsidP="00284A82">
      <w:pPr>
        <w:pStyle w:val="a3"/>
        <w:numPr>
          <w:ilvl w:val="0"/>
          <w:numId w:val="1"/>
        </w:numPr>
        <w:spacing w:line="360" w:lineRule="auto"/>
        <w:ind w:left="425"/>
        <w:jc w:val="both"/>
        <w:rPr>
          <w:rFonts w:ascii="Arial" w:hAnsi="Arial"/>
          <w:b/>
          <w:bCs/>
          <w:noProof w:val="0"/>
        </w:rPr>
      </w:pPr>
      <w:r>
        <w:rPr>
          <w:rFonts w:ascii="Arial" w:hAnsi="Arial"/>
          <w:b/>
          <w:bCs/>
          <w:noProof w:val="0"/>
          <w:rtl/>
        </w:rPr>
        <w:t xml:space="preserve">ברם, </w:t>
      </w:r>
      <w:proofErr w:type="spellStart"/>
      <w:r>
        <w:rPr>
          <w:rFonts w:ascii="Arial" w:hAnsi="Arial"/>
          <w:b/>
          <w:bCs/>
          <w:noProof w:val="0"/>
          <w:rtl/>
        </w:rPr>
        <w:t>בנדוננו</w:t>
      </w:r>
      <w:proofErr w:type="spellEnd"/>
      <w:r>
        <w:rPr>
          <w:rFonts w:ascii="Arial" w:hAnsi="Arial"/>
          <w:b/>
          <w:bCs/>
          <w:noProof w:val="0"/>
          <w:rtl/>
        </w:rPr>
        <w:t xml:space="preserve"> המצב מורכב אף יותר, שכן מטענות הצדדים עולה שישנן שלוש נקודות זמן רלוונטיות בהן יש לבחון את רצונה של המנוחה:</w:t>
      </w:r>
    </w:p>
    <w:p w:rsidR="00284A82" w:rsidRDefault="00284A82" w:rsidP="00284A82">
      <w:pPr>
        <w:pStyle w:val="a3"/>
        <w:spacing w:line="360" w:lineRule="auto"/>
        <w:ind w:left="425"/>
        <w:jc w:val="both"/>
        <w:rPr>
          <w:rFonts w:ascii="Arial" w:hAnsi="Arial"/>
          <w:b/>
          <w:bCs/>
          <w:noProof w:val="0"/>
          <w:rtl/>
        </w:rPr>
      </w:pPr>
      <w:r>
        <w:rPr>
          <w:rFonts w:ascii="Arial" w:hAnsi="Arial"/>
          <w:b/>
          <w:bCs/>
          <w:noProof w:val="0"/>
          <w:rtl/>
        </w:rPr>
        <w:t>נק' זמן הראשונה (המוקדמת ביותר)- מועד החתימה על הוראת המוטבים המקורית.</w:t>
      </w:r>
    </w:p>
    <w:p w:rsidR="00284A82" w:rsidRDefault="00284A82" w:rsidP="00284A82">
      <w:pPr>
        <w:pStyle w:val="a3"/>
        <w:spacing w:line="360" w:lineRule="auto"/>
        <w:ind w:left="425"/>
        <w:jc w:val="both"/>
        <w:rPr>
          <w:rFonts w:ascii="Arial" w:hAnsi="Arial"/>
          <w:b/>
          <w:bCs/>
          <w:noProof w:val="0"/>
          <w:rtl/>
        </w:rPr>
      </w:pPr>
      <w:r>
        <w:rPr>
          <w:rFonts w:ascii="Arial" w:hAnsi="Arial"/>
          <w:b/>
          <w:bCs/>
          <w:noProof w:val="0"/>
          <w:rtl/>
        </w:rPr>
        <w:t>נק' זמן שנייה- מועד החתימה על הצוואה.</w:t>
      </w:r>
    </w:p>
    <w:p w:rsidR="00284A82" w:rsidRDefault="00284A82" w:rsidP="00284A82">
      <w:pPr>
        <w:pStyle w:val="a3"/>
        <w:spacing w:line="360" w:lineRule="auto"/>
        <w:ind w:left="425"/>
        <w:jc w:val="both"/>
        <w:rPr>
          <w:rFonts w:ascii="Arial" w:hAnsi="Arial"/>
          <w:b/>
          <w:bCs/>
          <w:noProof w:val="0"/>
          <w:rtl/>
        </w:rPr>
      </w:pPr>
      <w:r>
        <w:rPr>
          <w:rFonts w:ascii="Arial" w:hAnsi="Arial"/>
          <w:b/>
          <w:bCs/>
          <w:noProof w:val="0"/>
          <w:rtl/>
        </w:rPr>
        <w:t>נק' זמן שלישית (המאוחרת ביותר)- התקופה שלאחר שנודע למנוחה דבר מחלתה וחומרת מצבה בסמוך לפני פטירתה.</w:t>
      </w:r>
    </w:p>
    <w:p w:rsidR="00284A82" w:rsidRDefault="00284A82" w:rsidP="00284A82">
      <w:pPr>
        <w:pStyle w:val="a3"/>
        <w:spacing w:line="360" w:lineRule="auto"/>
        <w:ind w:left="425"/>
        <w:jc w:val="both"/>
        <w:rPr>
          <w:rFonts w:ascii="Arial" w:hAnsi="Arial"/>
          <w:b/>
          <w:bCs/>
          <w:noProof w:val="0"/>
          <w:sz w:val="16"/>
          <w:szCs w:val="16"/>
          <w:rtl/>
        </w:rPr>
      </w:pPr>
    </w:p>
    <w:p w:rsidR="00284A82" w:rsidRDefault="00284A82" w:rsidP="00284A82">
      <w:pPr>
        <w:pStyle w:val="a3"/>
        <w:spacing w:line="360" w:lineRule="auto"/>
        <w:ind w:left="425"/>
        <w:jc w:val="both"/>
        <w:rPr>
          <w:rFonts w:ascii="Arial" w:hAnsi="Arial"/>
          <w:b/>
          <w:bCs/>
          <w:noProof w:val="0"/>
          <w:rtl/>
        </w:rPr>
      </w:pPr>
      <w:r>
        <w:rPr>
          <w:rFonts w:ascii="Arial" w:hAnsi="Arial"/>
          <w:b/>
          <w:bCs/>
          <w:noProof w:val="0"/>
          <w:rtl/>
        </w:rPr>
        <w:t xml:space="preserve">טענת הנתבעים בהקשר זה הייתה שרצונה המאוחר הרלוונטי של המנוחה הינו רצונה בנקודת הזמן השלישית- בסמוך לפני פטירתה, בעוד שלשיטת התובע הקובע הוא רצונה של המנוחה בנק' הזמן השנייה- מועד עריכת הצוואה. </w:t>
      </w:r>
    </w:p>
    <w:p w:rsidR="00284A82" w:rsidRDefault="00284A82" w:rsidP="00284A82">
      <w:pPr>
        <w:pStyle w:val="a3"/>
        <w:rPr>
          <w:rFonts w:ascii="Arial" w:hAnsi="Arial"/>
          <w:b/>
          <w:bCs/>
          <w:noProof w:val="0"/>
          <w:rtl/>
        </w:rPr>
      </w:pPr>
    </w:p>
    <w:p w:rsidR="00284A82" w:rsidRDefault="00284A82" w:rsidP="00284A82">
      <w:pPr>
        <w:pStyle w:val="a3"/>
        <w:numPr>
          <w:ilvl w:val="0"/>
          <w:numId w:val="1"/>
        </w:numPr>
        <w:spacing w:line="360" w:lineRule="auto"/>
        <w:ind w:left="425"/>
        <w:jc w:val="both"/>
        <w:rPr>
          <w:rFonts w:ascii="Arial" w:hAnsi="Arial"/>
          <w:b/>
          <w:bCs/>
          <w:noProof w:val="0"/>
          <w:rtl/>
        </w:rPr>
      </w:pPr>
      <w:r>
        <w:rPr>
          <w:rFonts w:ascii="Arial" w:hAnsi="Arial"/>
          <w:b/>
          <w:bCs/>
          <w:noProof w:val="0"/>
          <w:rtl/>
        </w:rPr>
        <w:t xml:space="preserve">כפי שיפורט להלן בהרחבה, מהראיות והחקירות שהוצגו בפני הוכח באופן ברור וחד משמעי כי רצונה המאוחר של המנוחה היה </w:t>
      </w:r>
      <w:r>
        <w:rPr>
          <w:rFonts w:ascii="Arial" w:hAnsi="Arial"/>
          <w:b/>
          <w:bCs/>
          <w:noProof w:val="0"/>
          <w:u w:val="single"/>
          <w:rtl/>
        </w:rPr>
        <w:t>שלא לשנות</w:t>
      </w:r>
      <w:r>
        <w:rPr>
          <w:rFonts w:ascii="Arial" w:hAnsi="Arial"/>
          <w:b/>
          <w:bCs/>
          <w:noProof w:val="0"/>
          <w:rtl/>
        </w:rPr>
        <w:t xml:space="preserve"> את הוראת המוטבים עפ"י הנוסח המופיע בסעיף 6 לצוואתה: </w:t>
      </w:r>
    </w:p>
    <w:p w:rsidR="00284A82" w:rsidRDefault="00284A82" w:rsidP="00284A82">
      <w:pPr>
        <w:pStyle w:val="a3"/>
        <w:rPr>
          <w:rFonts w:ascii="Arial" w:hAnsi="Arial"/>
          <w:noProof w:val="0"/>
          <w:rtl/>
        </w:rPr>
      </w:pPr>
    </w:p>
    <w:p w:rsidR="00284A82" w:rsidRDefault="00284A82" w:rsidP="00284A82">
      <w:pPr>
        <w:pStyle w:val="a3"/>
        <w:spacing w:line="360" w:lineRule="auto"/>
        <w:ind w:left="1440" w:hanging="1015"/>
        <w:jc w:val="both"/>
        <w:rPr>
          <w:rFonts w:ascii="Arial" w:hAnsi="Arial"/>
          <w:noProof w:val="0"/>
        </w:rPr>
      </w:pPr>
      <w:r>
        <w:rPr>
          <w:rFonts w:ascii="Arial" w:hAnsi="Arial"/>
          <w:b/>
          <w:bCs/>
          <w:noProof w:val="0"/>
          <w:u w:val="single"/>
          <w:rtl/>
        </w:rPr>
        <w:lastRenderedPageBreak/>
        <w:t>ראשית :</w:t>
      </w:r>
      <w:r>
        <w:rPr>
          <w:rFonts w:ascii="Arial" w:hAnsi="Arial"/>
          <w:noProof w:val="0"/>
          <w:rtl/>
        </w:rPr>
        <w:t xml:space="preserve">  </w:t>
      </w:r>
      <w:r>
        <w:rPr>
          <w:rFonts w:ascii="Arial" w:hAnsi="Arial"/>
          <w:noProof w:val="0"/>
          <w:rtl/>
        </w:rPr>
        <w:tab/>
        <w:t>מתמליל השיחה שהתקיימה בין הצדדים לאחר פטירת המנוחה אשר הוגש ע"י הנתבעים (נספח 2 לכתב ההגנה) עולה באופן הברור ביותר שהתובע עצמו טען שהצוואה אינה משקפת נכונה את רצונה של המנוחה בקשר לכספי הביטוח החיים. וכך אמר התובע לנתבעים בשיחה זו בקשר לרצונה של המנוחה:</w:t>
      </w:r>
    </w:p>
    <w:p w:rsidR="00284A82" w:rsidRDefault="00284A82" w:rsidP="00284A82">
      <w:pPr>
        <w:pStyle w:val="a3"/>
        <w:spacing w:line="360" w:lineRule="auto"/>
        <w:ind w:left="1440" w:hanging="1015"/>
        <w:jc w:val="both"/>
        <w:rPr>
          <w:rFonts w:ascii="Arial" w:hAnsi="Arial"/>
          <w:noProof w:val="0"/>
          <w:rtl/>
        </w:rPr>
      </w:pPr>
    </w:p>
    <w:p w:rsidR="00284A82" w:rsidRDefault="00284A82" w:rsidP="00284A82">
      <w:pPr>
        <w:pStyle w:val="a3"/>
        <w:spacing w:line="360" w:lineRule="auto"/>
        <w:ind w:left="1417" w:right="1418" w:hanging="992"/>
        <w:jc w:val="both"/>
        <w:rPr>
          <w:rFonts w:ascii="Arial" w:hAnsi="Arial"/>
          <w:b/>
          <w:bCs/>
          <w:i/>
          <w:iCs/>
          <w:noProof w:val="0"/>
          <w:rtl/>
        </w:rPr>
      </w:pPr>
      <w:r>
        <w:rPr>
          <w:rFonts w:ascii="Arial" w:hAnsi="Arial"/>
          <w:b/>
          <w:bCs/>
          <w:i/>
          <w:iCs/>
          <w:noProof w:val="0"/>
          <w:rtl/>
        </w:rPr>
        <w:t xml:space="preserve">              " לא, לא. אני אגיד לכם ממה זה נובע. אני אגיד לכם ממה זה נובע. אה, שוב, אני חוזר ל-, להפוך על הפוך. מכיוון שהצוואה נכתבה בתוך מחשבה שכנראה אני הולך ראשון, אז בהתאם לזה גם נכתבו הדברים. אה, יש את כספי החיסכון שלנו שחסכנו על שמה. אני והיא. ותמיד אמרנו שהכסף הזה ישמש את מי שיישאר מאתנו ל- לעתיד שלו. שלא יישאר בלי כלום. אז בצוואה היא כתבה בכלל </w:t>
      </w:r>
      <w:proofErr w:type="spellStart"/>
      <w:r>
        <w:rPr>
          <w:rFonts w:ascii="Arial" w:hAnsi="Arial"/>
          <w:b/>
          <w:bCs/>
          <w:i/>
          <w:iCs/>
          <w:noProof w:val="0"/>
          <w:rtl/>
        </w:rPr>
        <w:t>הכל</w:t>
      </w:r>
      <w:proofErr w:type="spellEnd"/>
      <w:r>
        <w:rPr>
          <w:rFonts w:ascii="Arial" w:hAnsi="Arial"/>
          <w:b/>
          <w:bCs/>
          <w:i/>
          <w:iCs/>
          <w:noProof w:val="0"/>
          <w:rtl/>
        </w:rPr>
        <w:t xml:space="preserve">, כולל הכספי חי, ביטוח חיים, כספי </w:t>
      </w:r>
      <w:proofErr w:type="spellStart"/>
      <w:r>
        <w:rPr>
          <w:rFonts w:ascii="Arial" w:hAnsi="Arial"/>
          <w:b/>
          <w:bCs/>
          <w:i/>
          <w:iCs/>
          <w:noProof w:val="0"/>
          <w:rtl/>
        </w:rPr>
        <w:t>הכל</w:t>
      </w:r>
      <w:proofErr w:type="spellEnd"/>
      <w:r>
        <w:rPr>
          <w:rFonts w:ascii="Arial" w:hAnsi="Arial"/>
          <w:b/>
          <w:bCs/>
          <w:i/>
          <w:iCs/>
          <w:noProof w:val="0"/>
          <w:rtl/>
        </w:rPr>
        <w:t xml:space="preserve">. </w:t>
      </w:r>
      <w:r>
        <w:rPr>
          <w:rFonts w:ascii="Arial" w:hAnsi="Arial"/>
          <w:b/>
          <w:bCs/>
          <w:i/>
          <w:iCs/>
          <w:noProof w:val="0"/>
          <w:u w:val="single"/>
          <w:rtl/>
        </w:rPr>
        <w:t>אחר כך כשהיא הבינה בבית חלים שהיא כנראה הולכת לפניי, אז היא רצתה לתקן את זה ותיקנה את זה במסמך ההוא שנתתי לך, ש-, שבעצם כספי הביטוח חיים יועברו אליכם</w:t>
      </w:r>
      <w:r>
        <w:rPr>
          <w:rFonts w:ascii="Arial" w:hAnsi="Arial"/>
          <w:b/>
          <w:bCs/>
          <w:i/>
          <w:iCs/>
          <w:noProof w:val="0"/>
          <w:rtl/>
        </w:rPr>
        <w:t>, זה הרבה מאוד כסף, אבל כספי החיסכון יעברו אלי, כי זה מה ש-, מה שתמיד חשבנו..." (ההדגשה אינה במקור-</w:t>
      </w:r>
      <w:proofErr w:type="spellStart"/>
      <w:r>
        <w:rPr>
          <w:rFonts w:ascii="Arial" w:hAnsi="Arial"/>
          <w:b/>
          <w:bCs/>
          <w:i/>
          <w:iCs/>
          <w:noProof w:val="0"/>
          <w:rtl/>
        </w:rPr>
        <w:t>ר.ב</w:t>
      </w:r>
      <w:proofErr w:type="spellEnd"/>
      <w:r>
        <w:rPr>
          <w:rFonts w:ascii="Arial" w:hAnsi="Arial"/>
          <w:b/>
          <w:bCs/>
          <w:i/>
          <w:iCs/>
          <w:noProof w:val="0"/>
          <w:rtl/>
        </w:rPr>
        <w:t>)</w:t>
      </w:r>
    </w:p>
    <w:p w:rsidR="00284A82" w:rsidRDefault="00284A82" w:rsidP="00284A82">
      <w:pPr>
        <w:pStyle w:val="a3"/>
        <w:spacing w:line="360" w:lineRule="auto"/>
        <w:ind w:left="1417" w:right="1418" w:hanging="992"/>
        <w:jc w:val="both"/>
        <w:rPr>
          <w:rFonts w:ascii="Arial" w:hAnsi="Arial"/>
          <w:b/>
          <w:bCs/>
          <w:i/>
          <w:iCs/>
          <w:noProof w:val="0"/>
          <w:rtl/>
        </w:rPr>
      </w:pPr>
      <w:r>
        <w:rPr>
          <w:rFonts w:ascii="Arial" w:hAnsi="Arial"/>
          <w:b/>
          <w:bCs/>
          <w:i/>
          <w:iCs/>
          <w:noProof w:val="0"/>
          <w:rtl/>
        </w:rPr>
        <w:t xml:space="preserve">                                 (עמ' 38 לתמליל, בשורות 15-25, וכן עמ' 39 בשורות 1-2)</w:t>
      </w:r>
    </w:p>
    <w:p w:rsidR="00284A82" w:rsidRDefault="00284A82" w:rsidP="00284A82">
      <w:pPr>
        <w:pStyle w:val="a3"/>
        <w:spacing w:line="360" w:lineRule="auto"/>
        <w:ind w:left="1440" w:hanging="1015"/>
        <w:jc w:val="both"/>
        <w:rPr>
          <w:rFonts w:ascii="Arial" w:hAnsi="Arial"/>
          <w:noProof w:val="0"/>
          <w:rtl/>
        </w:rPr>
      </w:pPr>
    </w:p>
    <w:p w:rsidR="00284A82" w:rsidRDefault="00284A82" w:rsidP="00284A82">
      <w:pPr>
        <w:pStyle w:val="a3"/>
        <w:spacing w:line="360" w:lineRule="auto"/>
        <w:ind w:left="1440" w:hanging="1015"/>
        <w:jc w:val="both"/>
        <w:rPr>
          <w:rFonts w:ascii="Arial" w:hAnsi="Arial"/>
          <w:b/>
          <w:bCs/>
          <w:noProof w:val="0"/>
          <w:rtl/>
        </w:rPr>
      </w:pPr>
      <w:r>
        <w:rPr>
          <w:rFonts w:ascii="Arial" w:hAnsi="Arial"/>
          <w:b/>
          <w:bCs/>
          <w:noProof w:val="0"/>
          <w:rtl/>
        </w:rPr>
        <w:tab/>
        <w:t>דהיינו: התובע אישר מפורשות בשיחה זו שהוראות סעיף 6 לצוואה ביחס לכספי הביטוח נכתבו מתוך מחשבה שהמנוחה תאריך ימים אחריו, ברם כאשר התחוור למנוחה שלא כך יהיה וימיה ספורים, היא חזרה בה מכוונתה לשנות את הוראת המוטבים, והביעה רצון מפורש שהנתבעים הם שיקבלו את כספי ביטוח החיים ולא התובע!</w:t>
      </w:r>
    </w:p>
    <w:p w:rsidR="00284A82" w:rsidRDefault="00284A82" w:rsidP="00284A82">
      <w:pPr>
        <w:pStyle w:val="a3"/>
        <w:spacing w:line="360" w:lineRule="auto"/>
        <w:ind w:left="1440" w:hanging="1015"/>
        <w:jc w:val="both"/>
        <w:rPr>
          <w:rFonts w:ascii="Arial" w:hAnsi="Arial"/>
          <w:noProof w:val="0"/>
          <w:rtl/>
        </w:rPr>
      </w:pPr>
    </w:p>
    <w:p w:rsidR="00284A82" w:rsidRDefault="00284A82" w:rsidP="00FF3F3C">
      <w:pPr>
        <w:pStyle w:val="a3"/>
        <w:spacing w:line="360" w:lineRule="auto"/>
        <w:ind w:left="1440" w:hanging="1015"/>
        <w:jc w:val="both"/>
        <w:rPr>
          <w:rFonts w:ascii="Arial" w:hAnsi="Arial"/>
          <w:noProof w:val="0"/>
          <w:rtl/>
        </w:rPr>
      </w:pPr>
      <w:r>
        <w:rPr>
          <w:rFonts w:ascii="Arial" w:hAnsi="Arial"/>
          <w:b/>
          <w:bCs/>
          <w:noProof w:val="0"/>
          <w:u w:val="single"/>
          <w:rtl/>
        </w:rPr>
        <w:t>שנית :</w:t>
      </w:r>
      <w:r>
        <w:rPr>
          <w:rFonts w:ascii="Arial" w:hAnsi="Arial"/>
          <w:noProof w:val="0"/>
          <w:rtl/>
        </w:rPr>
        <w:tab/>
        <w:t xml:space="preserve">מתמליל השיחה שהתקיימה בין המנוחה לבין חברתה הגב' </w:t>
      </w:r>
      <w:r w:rsidR="00FF3F3C">
        <w:rPr>
          <w:rFonts w:ascii="Arial" w:hAnsi="Arial" w:hint="cs"/>
          <w:noProof w:val="0"/>
        </w:rPr>
        <w:t>XXX</w:t>
      </w:r>
      <w:r>
        <w:rPr>
          <w:rFonts w:ascii="Arial" w:hAnsi="Arial"/>
          <w:noProof w:val="0"/>
          <w:rtl/>
        </w:rPr>
        <w:t xml:space="preserve"> ביום </w:t>
      </w:r>
      <w:r w:rsidR="00FF3F3C">
        <w:rPr>
          <w:rFonts w:ascii="Arial" w:hAnsi="Arial" w:hint="cs"/>
          <w:noProof w:val="0"/>
        </w:rPr>
        <w:t>XXX</w:t>
      </w:r>
      <w:r>
        <w:rPr>
          <w:rFonts w:ascii="Arial" w:hAnsi="Arial"/>
          <w:noProof w:val="0"/>
          <w:rtl/>
        </w:rPr>
        <w:t xml:space="preserve"> (אשר צורף כנספח 1 לתצהיר עדותה הראשית של הגב' </w:t>
      </w:r>
      <w:r w:rsidR="00FF3F3C">
        <w:rPr>
          <w:rFonts w:ascii="Arial" w:hAnsi="Arial" w:hint="cs"/>
          <w:noProof w:val="0"/>
        </w:rPr>
        <w:t>XXX</w:t>
      </w:r>
      <w:r>
        <w:rPr>
          <w:rFonts w:ascii="Arial" w:hAnsi="Arial"/>
          <w:noProof w:val="0"/>
          <w:rtl/>
        </w:rPr>
        <w:t xml:space="preserve">), כשלושה שבועות לפני פטירת המנוחה, עולה כי רצונה של המנוחה היה שהנתבעים הם שיקבלו את כספי ביטוח החיים שלה, ולא התובע (ראו האמור בעמ' 7 לתמליל שורות 11-24, וכן עמ' 13-15). </w:t>
      </w:r>
    </w:p>
    <w:p w:rsidR="00284A82" w:rsidRDefault="00284A82" w:rsidP="00284A82">
      <w:pPr>
        <w:pStyle w:val="a3"/>
        <w:spacing w:line="360" w:lineRule="auto"/>
        <w:ind w:left="1440" w:hanging="1015"/>
        <w:jc w:val="both"/>
        <w:rPr>
          <w:rFonts w:ascii="Arial" w:hAnsi="Arial"/>
          <w:noProof w:val="0"/>
          <w:rtl/>
        </w:rPr>
      </w:pPr>
    </w:p>
    <w:p w:rsidR="00284A82" w:rsidRDefault="00284A82" w:rsidP="00284A82">
      <w:pPr>
        <w:pStyle w:val="a3"/>
        <w:spacing w:line="360" w:lineRule="auto"/>
        <w:ind w:left="1440" w:hanging="1015"/>
        <w:jc w:val="both"/>
        <w:rPr>
          <w:rFonts w:ascii="Arial" w:hAnsi="Arial"/>
          <w:noProof w:val="0"/>
          <w:rtl/>
        </w:rPr>
      </w:pPr>
      <w:r>
        <w:rPr>
          <w:rFonts w:ascii="Arial" w:hAnsi="Arial"/>
          <w:b/>
          <w:bCs/>
          <w:noProof w:val="0"/>
          <w:u w:val="single"/>
          <w:rtl/>
        </w:rPr>
        <w:lastRenderedPageBreak/>
        <w:t>שלישית :</w:t>
      </w:r>
      <w:r>
        <w:rPr>
          <w:rFonts w:ascii="Arial" w:hAnsi="Arial"/>
          <w:b/>
          <w:bCs/>
          <w:noProof w:val="0"/>
          <w:rtl/>
        </w:rPr>
        <w:tab/>
      </w:r>
      <w:r>
        <w:rPr>
          <w:rFonts w:ascii="Arial" w:hAnsi="Arial"/>
          <w:noProof w:val="0"/>
          <w:rtl/>
        </w:rPr>
        <w:t xml:space="preserve">התובע לא הכחיש במסגרת תצהיר עדותו הראשית את הדברים שנאמרו על ידו לנתבעים בשיחה הנ"ל בדבר רצונה המאוחר של המנוחה. </w:t>
      </w:r>
    </w:p>
    <w:p w:rsidR="00284A82" w:rsidRDefault="00284A82" w:rsidP="00284A82">
      <w:pPr>
        <w:pStyle w:val="a3"/>
        <w:spacing w:line="360" w:lineRule="auto"/>
        <w:ind w:left="1440" w:hanging="1015"/>
        <w:jc w:val="both"/>
        <w:rPr>
          <w:rFonts w:ascii="Arial" w:hAnsi="Arial"/>
          <w:noProof w:val="0"/>
          <w:rtl/>
        </w:rPr>
      </w:pPr>
    </w:p>
    <w:p w:rsidR="00284A82" w:rsidRDefault="00284A82" w:rsidP="00284A82">
      <w:pPr>
        <w:pStyle w:val="a3"/>
        <w:spacing w:line="360" w:lineRule="auto"/>
        <w:ind w:left="1440" w:hanging="1015"/>
        <w:jc w:val="both"/>
        <w:rPr>
          <w:rFonts w:ascii="Arial" w:hAnsi="Arial"/>
          <w:noProof w:val="0"/>
          <w:rtl/>
        </w:rPr>
      </w:pPr>
      <w:r>
        <w:rPr>
          <w:rFonts w:ascii="Arial" w:hAnsi="Arial"/>
          <w:b/>
          <w:bCs/>
          <w:noProof w:val="0"/>
          <w:u w:val="single"/>
          <w:rtl/>
        </w:rPr>
        <w:t>רביעית :</w:t>
      </w:r>
      <w:r>
        <w:rPr>
          <w:rFonts w:ascii="Arial" w:hAnsi="Arial"/>
          <w:b/>
          <w:bCs/>
          <w:noProof w:val="0"/>
          <w:rtl/>
        </w:rPr>
        <w:tab/>
        <w:t>במהלך חקירתו הנגדית התובע הודה שרצונה האחרון של המנוחה היה שונה מהוראות הצוואה בכל הקשור לכספי הביטוח</w:t>
      </w:r>
      <w:r>
        <w:rPr>
          <w:rFonts w:ascii="Arial" w:hAnsi="Arial"/>
          <w:noProof w:val="0"/>
          <w:rtl/>
        </w:rPr>
        <w:t xml:space="preserve"> (ראו עמ' 17 לפרוטוקול, בשורה 21, וכן עמ' 20 שורות 24-27). התובע גם לא הכחיש בחקירתו שרצונה של המנוחה היה ידוע לו בעת הגשת התביעה, אך הסביר כי פעל "בהתאם ליעוץ משפטי שקיבל",  ומטעם זה לא פירט בכתב התביעה מה היה רצון המנוחה (שם, בשורות 22-28 וכן בשורות 33-34).  מצאתי כי עדותו של התובע בפני בכל הקשור לרצונה של המנוחה הייתה פתלתלה ומתחמקת, ובנסיבות אלה מצאתי להעדיף את גרסתם של הנתבעים.</w:t>
      </w:r>
    </w:p>
    <w:p w:rsidR="00284A82" w:rsidRDefault="00284A82" w:rsidP="00284A82">
      <w:pPr>
        <w:pStyle w:val="a3"/>
        <w:spacing w:line="360" w:lineRule="auto"/>
        <w:ind w:left="1440" w:hanging="1015"/>
        <w:jc w:val="both"/>
        <w:rPr>
          <w:rFonts w:ascii="Arial" w:hAnsi="Arial"/>
          <w:noProof w:val="0"/>
        </w:rPr>
      </w:pPr>
    </w:p>
    <w:p w:rsidR="00284A82" w:rsidRDefault="00284A82" w:rsidP="00284A82">
      <w:pPr>
        <w:pStyle w:val="a3"/>
        <w:spacing w:line="360" w:lineRule="auto"/>
        <w:ind w:left="1440" w:hanging="1015"/>
        <w:jc w:val="both"/>
        <w:rPr>
          <w:rFonts w:ascii="Arial" w:hAnsi="Arial"/>
          <w:noProof w:val="0"/>
          <w:rtl/>
        </w:rPr>
      </w:pPr>
      <w:r>
        <w:rPr>
          <w:rFonts w:ascii="Arial" w:hAnsi="Arial"/>
          <w:b/>
          <w:bCs/>
          <w:noProof w:val="0"/>
          <w:u w:val="single"/>
          <w:rtl/>
        </w:rPr>
        <w:t>חמישית :</w:t>
      </w:r>
      <w:r>
        <w:rPr>
          <w:rFonts w:ascii="Arial" w:hAnsi="Arial"/>
          <w:b/>
          <w:bCs/>
          <w:noProof w:val="0"/>
          <w:rtl/>
        </w:rPr>
        <w:tab/>
      </w:r>
      <w:r>
        <w:rPr>
          <w:rFonts w:ascii="Arial" w:hAnsi="Arial"/>
          <w:noProof w:val="0"/>
          <w:rtl/>
        </w:rPr>
        <w:t>הנתבעים טענו בכתב ההגנה שנתמך בתצהירם, כי המנוחה שינתה את רצונה ביחס להוראות סעיף 6 לצוואה, וביקשה שהנתבעים הם שיקבלו את כספי ביטוח החיים שלה ולא התובע (ראו סעיף 22 לכתב ההגנה). גרסה זו לא רק שלא הופרכה בחקירתם הנגדית, אלא שהתובע אף אישר דברים אלה בעצמו בחקירתו וכמפורט לעיל.</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b/>
          <w:bCs/>
          <w:noProof w:val="0"/>
          <w:rtl/>
        </w:rPr>
      </w:pPr>
      <w:r>
        <w:rPr>
          <w:rFonts w:ascii="Arial" w:hAnsi="Arial"/>
          <w:b/>
          <w:bCs/>
          <w:noProof w:val="0"/>
          <w:rtl/>
        </w:rPr>
        <w:t>משרצונה של המנוחה בנקודת הזמן המאוחרת מבין השלוש הוכח בפני, לא מצאתי לקבל את טענת התובע לפיה יש להתעלם מרצונה המובהק הנ"ל, ולפעול בהתאם להוראות סעיף 6 לצוואה.</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b/>
          <w:bCs/>
          <w:noProof w:val="0"/>
        </w:rPr>
      </w:pPr>
      <w:r>
        <w:rPr>
          <w:rFonts w:ascii="Arial" w:hAnsi="Arial"/>
          <w:noProof w:val="0"/>
          <w:rtl/>
        </w:rPr>
        <w:t xml:space="preserve">כעולה מהפסיקה, הטעם העיקרי לפיו יש להעדיף את הוראות הצוואה על פני הוראת המוטבים הינה משום החובה להתחקות אחר רצון המצווה, ובמקרים בהם הוראות הצוואה מאוחרות בזמן להוראת המוטבים, הנחת המוצא הינה שהרצון המאוחר הוא המשקף נכונה את רצון המצווה ועל כן יש להעדיפו. </w:t>
      </w:r>
      <w:r>
        <w:rPr>
          <w:rFonts w:ascii="Arial" w:hAnsi="Arial"/>
          <w:b/>
          <w:bCs/>
          <w:noProof w:val="0"/>
          <w:rtl/>
        </w:rPr>
        <w:t xml:space="preserve">ברם, </w:t>
      </w:r>
      <w:proofErr w:type="spellStart"/>
      <w:r>
        <w:rPr>
          <w:rFonts w:ascii="Arial" w:hAnsi="Arial"/>
          <w:b/>
          <w:bCs/>
          <w:noProof w:val="0"/>
          <w:rtl/>
        </w:rPr>
        <w:t>בנדוננו</w:t>
      </w:r>
      <w:proofErr w:type="spellEnd"/>
      <w:r>
        <w:rPr>
          <w:rFonts w:ascii="Arial" w:hAnsi="Arial"/>
          <w:b/>
          <w:bCs/>
          <w:noProof w:val="0"/>
          <w:rtl/>
        </w:rPr>
        <w:t>, הוכח בפני שהוראות סעיף 6 לצוואה אינן משקפות את רצונה המאוחר של המנוחה, אלא ההפך הגמור מכך: הוכח שהוראות סעיף 6 הנ"ל אינן משקפות את רצונה האחרון של המנוחה. במצב דברים זה מצאתי שאין מקום להתעלם מרצונה המאוחר המוכח של המנוחה, ולהעדיף את הוראות הצוואה על פני הוראת המוטבים.</w:t>
      </w:r>
    </w:p>
    <w:p w:rsidR="00284A82" w:rsidRDefault="00284A82" w:rsidP="00284A82">
      <w:pPr>
        <w:pStyle w:val="a3"/>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החבות לתשלום כספי הביטוח הינה </w:t>
      </w:r>
      <w:proofErr w:type="spellStart"/>
      <w:r>
        <w:rPr>
          <w:rFonts w:ascii="Arial" w:hAnsi="Arial"/>
          <w:noProof w:val="0"/>
          <w:rtl/>
        </w:rPr>
        <w:t>מכח</w:t>
      </w:r>
      <w:proofErr w:type="spellEnd"/>
      <w:r>
        <w:rPr>
          <w:rFonts w:ascii="Arial" w:hAnsi="Arial"/>
          <w:noProof w:val="0"/>
          <w:rtl/>
        </w:rPr>
        <w:t xml:space="preserve"> הוראות ההסכם שנחתם בין המנוחה לבין חברת הביטוח עם הצטרפותה לפוליסת הביטוח, וכן לתקנון חברת הביטוח. בשים לב כי אין חולק שהמנוחה לא העבירה את הצוואה לחברת הביטוח טרם פטירתה, היה על התובע להוכיח בין </w:t>
      </w:r>
      <w:r>
        <w:rPr>
          <w:rFonts w:ascii="Arial" w:hAnsi="Arial"/>
          <w:noProof w:val="0"/>
          <w:rtl/>
        </w:rPr>
        <w:lastRenderedPageBreak/>
        <w:t xml:space="preserve">היתר גם כי תקנון חברת הביטוח אכן מאפשר משלוח הצוואה לאחר פטירת המנוחה, בכדי שיהיה תוקף לשינוי הוראת המוטבים המעודכנת ברישומי חברת הביטוח. </w:t>
      </w:r>
    </w:p>
    <w:p w:rsidR="00284A82" w:rsidRDefault="00284A82" w:rsidP="00284A82">
      <w:pPr>
        <w:pStyle w:val="a3"/>
        <w:rPr>
          <w:rFonts w:ascii="Arial" w:hAnsi="Arial"/>
          <w:noProof w:val="0"/>
          <w:rtl/>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ברם, התובע לא עמד בנטל זה </w:t>
      </w:r>
      <w:proofErr w:type="spellStart"/>
      <w:r>
        <w:rPr>
          <w:rFonts w:ascii="Arial" w:hAnsi="Arial"/>
          <w:noProof w:val="0"/>
          <w:rtl/>
        </w:rPr>
        <w:t>במאום</w:t>
      </w:r>
      <w:proofErr w:type="spellEnd"/>
      <w:r>
        <w:rPr>
          <w:rFonts w:ascii="Arial" w:hAnsi="Arial"/>
          <w:noProof w:val="0"/>
          <w:rtl/>
        </w:rPr>
        <w:t xml:space="preserve">. התובע כלל לא טען כל טענה בעניין תקנון חברת הביטוח בכתב התביעה ו/או בתצהירו- קל וחומר שלא הוכיח טענות אלה </w:t>
      </w:r>
      <w:proofErr w:type="spellStart"/>
      <w:r>
        <w:rPr>
          <w:rFonts w:ascii="Arial" w:hAnsi="Arial"/>
          <w:noProof w:val="0"/>
          <w:rtl/>
        </w:rPr>
        <w:t>במאום</w:t>
      </w:r>
      <w:proofErr w:type="spellEnd"/>
      <w:r>
        <w:rPr>
          <w:rFonts w:ascii="Arial" w:hAnsi="Arial"/>
          <w:noProof w:val="0"/>
          <w:rtl/>
        </w:rPr>
        <w:t xml:space="preserve">. התובע לא צירף את תקנון חברת הביטוח, ובנוסף התובע גם לא ביקש להביא לעדות גורם כלשהו מטעם חברת הביטוח. במסמכי הביטוח שצירף התובע כנספח ד' לכתב התביעה, צוין כי המוטבים בפוליסת הביטוח יהיו: "כמפורט בהצעה, או כפי שנקבע בהודעה האחרונה בכתב לשינוי המוטב </w:t>
      </w:r>
      <w:r>
        <w:rPr>
          <w:rFonts w:ascii="Arial" w:hAnsi="Arial"/>
          <w:b/>
          <w:bCs/>
          <w:noProof w:val="0"/>
          <w:rtl/>
        </w:rPr>
        <w:t>שנתקבלה ואושרה בחברה</w:t>
      </w:r>
      <w:r>
        <w:rPr>
          <w:rFonts w:ascii="Arial" w:hAnsi="Arial"/>
          <w:noProof w:val="0"/>
          <w:rtl/>
        </w:rPr>
        <w:t>" (ראו עמ' 18 לכתב התביעה) (ההדגשה שלי-</w:t>
      </w:r>
      <w:proofErr w:type="spellStart"/>
      <w:r>
        <w:rPr>
          <w:rFonts w:ascii="Arial" w:hAnsi="Arial"/>
          <w:noProof w:val="0"/>
          <w:rtl/>
        </w:rPr>
        <w:t>ר.ב</w:t>
      </w:r>
      <w:proofErr w:type="spellEnd"/>
      <w:r>
        <w:rPr>
          <w:rFonts w:ascii="Arial" w:hAnsi="Arial"/>
          <w:noProof w:val="0"/>
          <w:rtl/>
        </w:rPr>
        <w:t xml:space="preserve">).  </w:t>
      </w:r>
    </w:p>
    <w:p w:rsidR="00284A82" w:rsidRDefault="00284A82" w:rsidP="00284A82">
      <w:pPr>
        <w:pStyle w:val="a3"/>
        <w:spacing w:line="360" w:lineRule="auto"/>
        <w:ind w:left="425"/>
        <w:jc w:val="both"/>
        <w:rPr>
          <w:rFonts w:ascii="Arial" w:hAnsi="Arial"/>
          <w:noProof w:val="0"/>
          <w:rtl/>
        </w:rPr>
      </w:pPr>
      <w:r>
        <w:rPr>
          <w:rFonts w:ascii="Arial" w:hAnsi="Arial"/>
          <w:noProof w:val="0"/>
          <w:rtl/>
        </w:rPr>
        <w:t>התובע לא הוכיח כי אכן נשלחה הודעה אחרונה לחברת הביטוח וכן לא הוכיח שהודעה כנ"ל התקבלה ואושרה ע"י חברת הביטוח כנדרש.</w:t>
      </w:r>
    </w:p>
    <w:p w:rsidR="00284A82" w:rsidRDefault="00284A82" w:rsidP="00284A82">
      <w:pPr>
        <w:pStyle w:val="a3"/>
        <w:spacing w:line="360" w:lineRule="auto"/>
        <w:ind w:left="425"/>
        <w:jc w:val="both"/>
        <w:rPr>
          <w:rFonts w:ascii="Arial" w:hAnsi="Arial"/>
          <w:noProof w:val="0"/>
          <w:rtl/>
        </w:rPr>
      </w:pPr>
      <w:r>
        <w:rPr>
          <w:rFonts w:ascii="Arial" w:hAnsi="Arial"/>
          <w:noProof w:val="0"/>
          <w:rtl/>
        </w:rPr>
        <w:t xml:space="preserve">זאת ועוד; ממכתבה של חברת הביטוח לבא </w:t>
      </w:r>
      <w:proofErr w:type="spellStart"/>
      <w:r>
        <w:rPr>
          <w:rFonts w:ascii="Arial" w:hAnsi="Arial"/>
          <w:noProof w:val="0"/>
          <w:rtl/>
        </w:rPr>
        <w:t>כח</w:t>
      </w:r>
      <w:proofErr w:type="spellEnd"/>
      <w:r>
        <w:rPr>
          <w:rFonts w:ascii="Arial" w:hAnsi="Arial"/>
          <w:noProof w:val="0"/>
          <w:rtl/>
        </w:rPr>
        <w:t xml:space="preserve"> התובע מיום 31/3/2019 (נספח ו' לכתב התביעה) עולה כי חברת הביטוח קבעה שהנתבעים הם הזכאים לקבל את כספי הביטוח מחמת הוראת המוטבים, ולא התובע- וזאת חרף העובדה שהתובע המציא לעיונה העתק מצוואת המנוחה.</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spacing w:line="360" w:lineRule="auto"/>
        <w:ind w:left="425"/>
        <w:jc w:val="both"/>
        <w:rPr>
          <w:rFonts w:ascii="Arial" w:hAnsi="Arial"/>
          <w:noProof w:val="0"/>
          <w:rtl/>
        </w:rPr>
      </w:pPr>
      <w:r>
        <w:rPr>
          <w:rFonts w:ascii="Arial" w:hAnsi="Arial"/>
          <w:noProof w:val="0"/>
          <w:rtl/>
        </w:rPr>
        <w:t xml:space="preserve">עניין זה עלה גם במסגרת חקירתו הנגדית של התובע, </w:t>
      </w:r>
      <w:proofErr w:type="spellStart"/>
      <w:r>
        <w:rPr>
          <w:rFonts w:ascii="Arial" w:hAnsi="Arial"/>
          <w:noProof w:val="0"/>
          <w:rtl/>
        </w:rPr>
        <w:t>וכלהלן</w:t>
      </w:r>
      <w:proofErr w:type="spellEnd"/>
      <w:r>
        <w:rPr>
          <w:rFonts w:ascii="Arial" w:hAnsi="Arial"/>
          <w:noProof w:val="0"/>
          <w:rtl/>
        </w:rPr>
        <w:t>:</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spacing w:line="360" w:lineRule="auto"/>
        <w:ind w:left="1417" w:right="1418" w:hanging="992"/>
        <w:jc w:val="both"/>
        <w:rPr>
          <w:rFonts w:ascii="Arial" w:hAnsi="Arial"/>
          <w:b/>
          <w:bCs/>
          <w:i/>
          <w:iCs/>
          <w:noProof w:val="0"/>
          <w:rtl/>
        </w:rPr>
      </w:pPr>
      <w:r>
        <w:rPr>
          <w:rFonts w:ascii="Arial" w:hAnsi="Arial"/>
          <w:b/>
          <w:bCs/>
          <w:i/>
          <w:iCs/>
          <w:noProof w:val="0"/>
          <w:rtl/>
        </w:rPr>
        <w:t xml:space="preserve">     "  ש: </w:t>
      </w:r>
      <w:r>
        <w:rPr>
          <w:rFonts w:ascii="Arial" w:hAnsi="Arial"/>
          <w:b/>
          <w:bCs/>
          <w:i/>
          <w:iCs/>
          <w:noProof w:val="0"/>
          <w:rtl/>
        </w:rPr>
        <w:tab/>
        <w:t>ניהלת הליך נגד חברת הביטוח?</w:t>
      </w:r>
    </w:p>
    <w:p w:rsidR="00284A82" w:rsidRDefault="00284A82" w:rsidP="00284A82">
      <w:pPr>
        <w:pStyle w:val="a3"/>
        <w:spacing w:line="360" w:lineRule="auto"/>
        <w:ind w:left="1417" w:right="1418" w:hanging="697"/>
        <w:jc w:val="both"/>
        <w:rPr>
          <w:rFonts w:ascii="Arial" w:hAnsi="Arial"/>
          <w:b/>
          <w:bCs/>
          <w:i/>
          <w:iCs/>
          <w:noProof w:val="0"/>
          <w:rtl/>
        </w:rPr>
      </w:pPr>
      <w:r>
        <w:rPr>
          <w:rFonts w:ascii="Arial" w:hAnsi="Arial"/>
          <w:b/>
          <w:bCs/>
          <w:i/>
          <w:iCs/>
          <w:noProof w:val="0"/>
          <w:rtl/>
        </w:rPr>
        <w:t xml:space="preserve">    ת:</w:t>
      </w:r>
      <w:r>
        <w:rPr>
          <w:rFonts w:ascii="Arial" w:hAnsi="Arial"/>
          <w:b/>
          <w:bCs/>
          <w:i/>
          <w:iCs/>
          <w:noProof w:val="0"/>
          <w:rtl/>
        </w:rPr>
        <w:tab/>
        <w:t xml:space="preserve"> לא. הוסבר לי על ידי סוכן הביטוח המשותף שמבחינת תקנות חברת הביטוח (צ.ל "תקנון"-</w:t>
      </w:r>
      <w:proofErr w:type="spellStart"/>
      <w:r>
        <w:rPr>
          <w:rFonts w:ascii="Arial" w:hAnsi="Arial"/>
          <w:b/>
          <w:bCs/>
          <w:i/>
          <w:iCs/>
          <w:noProof w:val="0"/>
          <w:rtl/>
        </w:rPr>
        <w:t>ר.ב</w:t>
      </w:r>
      <w:proofErr w:type="spellEnd"/>
      <w:r>
        <w:rPr>
          <w:rFonts w:ascii="Arial" w:hAnsi="Arial"/>
          <w:b/>
          <w:bCs/>
          <w:i/>
          <w:iCs/>
          <w:noProof w:val="0"/>
          <w:rtl/>
        </w:rPr>
        <w:t>), חברת הביטוח נוהגת להעביר את הכספים למוטבים הרשומים." (עמ' 16, שורות 1-3)</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b/>
          <w:bCs/>
          <w:noProof w:val="0"/>
        </w:rPr>
      </w:pPr>
      <w:r>
        <w:rPr>
          <w:rFonts w:ascii="Arial" w:hAnsi="Arial"/>
          <w:b/>
          <w:bCs/>
          <w:noProof w:val="0"/>
          <w:rtl/>
        </w:rPr>
        <w:t xml:space="preserve">בנסיבות אלה אני קובע כי כעולה מרצונה האחרון של המנוחה, אשר הוכח בפני, המנוחה לא חפצה לשנות את הוראת המוטבים, ועל כן אין לראות בסעיף 6 לצוואה בגדר שינוי הוראת המוטבים, ואני דוחה טענה זו. </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גם טענת התובע, לפיה היות ולא נחתם ולא הוצג מסמך כלשהו בעניין שינוי הוראת הצוואה יש להתעלם מרצונה של המנוחה, נדחית בזאת. </w:t>
      </w: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גם לטענת התובע עצמו, העיקרון המנחה הינו "הגשמת רצון המת" (ראו סעיף 35 לכתב התביעה). רצונה המאוחר הברור של המנוחה כעולה מהראיות שהוצגו בפני היה שהנתבעים הם שיקבלו את כספי ביטוח החיים שלה והתובע יקבל את כספי התגמולים, ולא כפי שנכתב בסעיף 6 לצוואה. משהתובע עצמו העיד כי זה אכן היה רצונה של המנוחה, הוא מנוע ומושתק </w:t>
      </w:r>
      <w:r>
        <w:rPr>
          <w:rFonts w:ascii="Arial" w:hAnsi="Arial"/>
          <w:noProof w:val="0"/>
          <w:rtl/>
        </w:rPr>
        <w:lastRenderedPageBreak/>
        <w:t xml:space="preserve">מלטעון כי יש להתעלם מרצונה זה של המנוחה, רק משום שלא הוצג מסמך שהעלה על הכתב רצון זה. </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לכך יש להוסיף כי בכל הקשור לעיקרון הגשת רצון המת, נקבע בפסיקה שהמהות היא החשובה ולא הצורה, ועל כן  נפסק כי אין זה ראוי לסכל את רצונו של המת מנימוקים פורמאליים (וראו לעניין זה בג"ץ 2673/06 </w:t>
      </w:r>
      <w:r>
        <w:rPr>
          <w:rFonts w:ascii="Arial" w:hAnsi="Arial"/>
          <w:b/>
          <w:bCs/>
          <w:noProof w:val="0"/>
          <w:rtl/>
        </w:rPr>
        <w:t>שאוה-שוע נ' בית הדין הארצי לעבודה</w:t>
      </w:r>
      <w:r>
        <w:rPr>
          <w:rFonts w:ascii="Arial" w:hAnsi="Arial"/>
          <w:noProof w:val="0"/>
          <w:rtl/>
        </w:rPr>
        <w:t xml:space="preserve"> ([פורסם בנבו], 21.4.2009 , ע"א 719/97 </w:t>
      </w:r>
      <w:r>
        <w:rPr>
          <w:rFonts w:ascii="Arial" w:hAnsi="Arial"/>
          <w:b/>
          <w:bCs/>
          <w:noProof w:val="0"/>
          <w:rtl/>
        </w:rPr>
        <w:t>אהרן נ' אהרוני</w:t>
      </w:r>
      <w:r>
        <w:rPr>
          <w:rFonts w:ascii="Arial" w:hAnsi="Arial"/>
          <w:noProof w:val="0"/>
          <w:rtl/>
        </w:rPr>
        <w:t xml:space="preserve">, פ"ד נד(3) 469, 479 (2000)). </w:t>
      </w:r>
    </w:p>
    <w:p w:rsidR="00284A82" w:rsidRDefault="00284A82" w:rsidP="00284A82">
      <w:pPr>
        <w:pStyle w:val="a3"/>
        <w:rPr>
          <w:rFonts w:ascii="Arial" w:hAnsi="Arial"/>
          <w:noProof w:val="0"/>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בפסק דינו של כב' השופט י. </w:t>
      </w:r>
      <w:proofErr w:type="spellStart"/>
      <w:r>
        <w:rPr>
          <w:rFonts w:ascii="Arial" w:hAnsi="Arial"/>
          <w:noProof w:val="0"/>
          <w:rtl/>
        </w:rPr>
        <w:t>דנציגר</w:t>
      </w:r>
      <w:proofErr w:type="spellEnd"/>
      <w:r>
        <w:rPr>
          <w:rFonts w:ascii="Arial" w:hAnsi="Arial"/>
          <w:noProof w:val="0"/>
          <w:rtl/>
        </w:rPr>
        <w:t xml:space="preserve"> בע"א 1966/07 </w:t>
      </w:r>
      <w:r>
        <w:rPr>
          <w:rFonts w:ascii="Arial" w:hAnsi="Arial"/>
          <w:b/>
          <w:bCs/>
          <w:noProof w:val="0"/>
          <w:rtl/>
        </w:rPr>
        <w:t>עמליה אריאל נ' קרן הגמלאות של חברי אגד בע"מ</w:t>
      </w:r>
      <w:r>
        <w:rPr>
          <w:rFonts w:ascii="Arial" w:hAnsi="Arial"/>
          <w:noProof w:val="0"/>
          <w:rtl/>
        </w:rPr>
        <w:t xml:space="preserve"> (פורסם בנבו 09.08.2010) נקבע כי יש להחיל עקרונות אלה גם ביחס לנכסים לבר </w:t>
      </w:r>
      <w:proofErr w:type="spellStart"/>
      <w:r>
        <w:rPr>
          <w:rFonts w:ascii="Arial" w:hAnsi="Arial"/>
          <w:noProof w:val="0"/>
          <w:rtl/>
        </w:rPr>
        <w:t>עיזבוניים</w:t>
      </w:r>
      <w:proofErr w:type="spellEnd"/>
      <w:r>
        <w:rPr>
          <w:rFonts w:ascii="Arial" w:hAnsi="Arial"/>
          <w:noProof w:val="0"/>
          <w:rtl/>
        </w:rPr>
        <w:t>.</w:t>
      </w:r>
    </w:p>
    <w:p w:rsidR="00284A82" w:rsidRDefault="00284A82" w:rsidP="00284A82">
      <w:pPr>
        <w:pStyle w:val="a3"/>
        <w:spacing w:line="360" w:lineRule="auto"/>
        <w:ind w:left="425"/>
        <w:jc w:val="both"/>
        <w:rPr>
          <w:rFonts w:ascii="Arial" w:hAnsi="Arial"/>
          <w:noProof w:val="0"/>
          <w:rtl/>
        </w:rPr>
      </w:pPr>
      <w:r>
        <w:rPr>
          <w:rFonts w:ascii="Arial" w:hAnsi="Arial"/>
          <w:noProof w:val="0"/>
          <w:rtl/>
        </w:rPr>
        <w:t>על כן, אף מטעמים אלה לא מצאתי לקבל את טענות התובע והן נדחות כאמור.</w:t>
      </w:r>
    </w:p>
    <w:p w:rsidR="00284A82" w:rsidRDefault="00284A82" w:rsidP="00284A82">
      <w:pPr>
        <w:spacing w:line="360" w:lineRule="auto"/>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tl/>
        </w:rPr>
      </w:pPr>
      <w:r>
        <w:rPr>
          <w:rFonts w:ascii="Arial" w:hAnsi="Arial"/>
          <w:noProof w:val="0"/>
          <w:rtl/>
        </w:rPr>
        <w:t xml:space="preserve">לא מצאתי לקבל גם את הטענה הנוספת שהעלה התובע לפיה המנוחה לא הייתה רשאית לשנות את הוראות סעיף 6 לצוואה, ועל כן יש "להתעלם" מרצונה האחרון כמפורט לעיל, וגם טענה זו נדחית. </w:t>
      </w:r>
    </w:p>
    <w:p w:rsidR="00284A82" w:rsidRDefault="00284A82" w:rsidP="00284A82">
      <w:pPr>
        <w:pStyle w:val="a3"/>
        <w:spacing w:line="360" w:lineRule="auto"/>
        <w:ind w:left="425"/>
        <w:jc w:val="both"/>
        <w:rPr>
          <w:rFonts w:ascii="Arial" w:hAnsi="Arial"/>
          <w:noProof w:val="0"/>
        </w:rPr>
      </w:pPr>
    </w:p>
    <w:p w:rsidR="00284A82" w:rsidRDefault="00284A82" w:rsidP="00FF3F3C">
      <w:pPr>
        <w:pStyle w:val="a3"/>
        <w:spacing w:line="360" w:lineRule="auto"/>
        <w:ind w:left="425"/>
        <w:jc w:val="both"/>
        <w:rPr>
          <w:rFonts w:ascii="Arial" w:hAnsi="Arial"/>
          <w:noProof w:val="0"/>
        </w:rPr>
      </w:pPr>
      <w:r>
        <w:rPr>
          <w:rFonts w:ascii="Arial" w:hAnsi="Arial"/>
          <w:noProof w:val="0"/>
          <w:rtl/>
        </w:rPr>
        <w:t xml:space="preserve">כפי שפורט לעיל, עסקינן בסתירה בין הוראות סעיף 147 לחוק הירושה ובין הוראות סעיף 36(ב) לחוק החוזים, וההכרעה הנדרשת הינה בשאלה באם יש להעדיף את הוראת המוטבים (הקודמת בזמן) או את הוראות סעיף 6 לצוואה (המאוחרת בזמן). כפי שנקבע לעיל, הכלל היסודי מכוחו ניתן לראות בהוראות צוואה שלא נשלחה לקופה/חברת הביטוח טרם פטירת העמית בגדר שינוי הוראות מוטבים, הינו רצונו המאוחר של העמית כפי שהוא משתקף מצוואתו המאוחרת בזמן להוראות המוטבים. </w:t>
      </w:r>
      <w:r>
        <w:rPr>
          <w:rFonts w:ascii="Arial" w:hAnsi="Arial"/>
          <w:b/>
          <w:bCs/>
          <w:noProof w:val="0"/>
          <w:rtl/>
        </w:rPr>
        <w:t xml:space="preserve">ברם, </w:t>
      </w:r>
      <w:proofErr w:type="spellStart"/>
      <w:r>
        <w:rPr>
          <w:rFonts w:ascii="Arial" w:hAnsi="Arial"/>
          <w:b/>
          <w:bCs/>
          <w:noProof w:val="0"/>
          <w:rtl/>
        </w:rPr>
        <w:t>בנדוננו</w:t>
      </w:r>
      <w:proofErr w:type="spellEnd"/>
      <w:r>
        <w:rPr>
          <w:rFonts w:ascii="Arial" w:hAnsi="Arial"/>
          <w:b/>
          <w:bCs/>
          <w:noProof w:val="0"/>
          <w:rtl/>
        </w:rPr>
        <w:t>, רצונה האחרון של המנוחה כפי שהוכח בפני לא תאם את הוראות צוואתה, וא</w:t>
      </w:r>
      <w:r w:rsidR="00FF3F3C">
        <w:rPr>
          <w:rFonts w:ascii="Arial" w:hAnsi="Arial" w:hint="cs"/>
          <w:b/>
          <w:bCs/>
          <w:noProof w:val="0"/>
          <w:rtl/>
        </w:rPr>
        <w:t>ף</w:t>
      </w:r>
      <w:r>
        <w:rPr>
          <w:rFonts w:ascii="Arial" w:hAnsi="Arial"/>
          <w:b/>
          <w:bCs/>
          <w:noProof w:val="0"/>
          <w:rtl/>
        </w:rPr>
        <w:t xml:space="preserve"> עובדה היא כי המנוחה לא העבירה העתק מצוואתה לחברת הביטוח טרם פטירתה, וכפי שהוכח בפני רצונה בסמוך לפני פטירתה היה שונה מזה המובא בצוואתה</w:t>
      </w:r>
      <w:r>
        <w:rPr>
          <w:rFonts w:ascii="Arial" w:hAnsi="Arial"/>
          <w:noProof w:val="0"/>
          <w:rtl/>
        </w:rPr>
        <w:t xml:space="preserve">.  </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התובענה שבפני הינה תביעה כספית ואין מדובר בתביעה שהוגשה </w:t>
      </w:r>
      <w:proofErr w:type="spellStart"/>
      <w:r>
        <w:rPr>
          <w:rFonts w:ascii="Arial" w:hAnsi="Arial"/>
          <w:noProof w:val="0"/>
          <w:rtl/>
        </w:rPr>
        <w:t>מכח</w:t>
      </w:r>
      <w:proofErr w:type="spellEnd"/>
      <w:r>
        <w:rPr>
          <w:rFonts w:ascii="Arial" w:hAnsi="Arial"/>
          <w:noProof w:val="0"/>
          <w:rtl/>
        </w:rPr>
        <w:t xml:space="preserve"> דיני הירושה, במסגרת תיק עיזבון. צו קיום צוואה הינו צו דקלרטיבי (סעיף 69 לחוק הירושה), ומשניתן, כל שנקבע במסגרתו הינו כי הצוואה הינה בת תוקף. לטעמי במקרה </w:t>
      </w:r>
      <w:proofErr w:type="spellStart"/>
      <w:r>
        <w:rPr>
          <w:rFonts w:ascii="Arial" w:hAnsi="Arial"/>
          <w:noProof w:val="0"/>
          <w:rtl/>
        </w:rPr>
        <w:t>שבנדוננו</w:t>
      </w:r>
      <w:proofErr w:type="spellEnd"/>
      <w:r>
        <w:rPr>
          <w:rFonts w:ascii="Arial" w:hAnsi="Arial"/>
          <w:noProof w:val="0"/>
          <w:rtl/>
        </w:rPr>
        <w:t xml:space="preserve"> אין בצו קיום צוואה כשלעצמו כדי להקים לתובע (הזכאי לכספים עפ"י הוראות הצוואה) עילת תביעה כנגד הנתבעים (אשר קיבלו את כספי הביטוח מחברת הביטוח </w:t>
      </w:r>
      <w:proofErr w:type="spellStart"/>
      <w:r>
        <w:rPr>
          <w:rFonts w:ascii="Arial" w:hAnsi="Arial"/>
          <w:noProof w:val="0"/>
          <w:rtl/>
        </w:rPr>
        <w:t>מכח</w:t>
      </w:r>
      <w:proofErr w:type="spellEnd"/>
      <w:r>
        <w:rPr>
          <w:rFonts w:ascii="Arial" w:hAnsi="Arial"/>
          <w:noProof w:val="0"/>
          <w:rtl/>
        </w:rPr>
        <w:t xml:space="preserve"> הוראת המוטבים). ויודגש; באם התובע סבר שאין לו כל עילת תביעה כנגד חברת הביטוח (אשר לטענתו העבירה את הכספים </w:t>
      </w:r>
      <w:r>
        <w:rPr>
          <w:rFonts w:ascii="Arial" w:hAnsi="Arial"/>
          <w:noProof w:val="0"/>
          <w:rtl/>
        </w:rPr>
        <w:lastRenderedPageBreak/>
        <w:t>לנתבעים בניגוד להוראות הצוואה), איזו עילת תביעה קמה לו כנגד הנתבעים, אשר קיבלו את הכספים מחברת הביטוח?! מכל מקום, התובע לא ביסס- קל וחומר הוכיח- כל עילת תביעה כנ"ל.</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spacing w:line="360" w:lineRule="auto"/>
        <w:ind w:left="425"/>
        <w:jc w:val="both"/>
        <w:rPr>
          <w:rFonts w:ascii="Arial" w:hAnsi="Arial"/>
          <w:noProof w:val="0"/>
          <w:rtl/>
        </w:rPr>
      </w:pPr>
      <w:r>
        <w:rPr>
          <w:rFonts w:ascii="Arial" w:hAnsi="Arial"/>
          <w:noProof w:val="0"/>
          <w:rtl/>
        </w:rPr>
        <w:t xml:space="preserve">לא מצאתי כי בנסיבות </w:t>
      </w:r>
      <w:proofErr w:type="spellStart"/>
      <w:r>
        <w:rPr>
          <w:rFonts w:ascii="Arial" w:hAnsi="Arial"/>
          <w:noProof w:val="0"/>
          <w:rtl/>
        </w:rPr>
        <w:t>נדוננו</w:t>
      </w:r>
      <w:proofErr w:type="spellEnd"/>
      <w:r>
        <w:rPr>
          <w:rFonts w:ascii="Arial" w:hAnsi="Arial"/>
          <w:noProof w:val="0"/>
          <w:rtl/>
        </w:rPr>
        <w:t xml:space="preserve">, כאשר רצונה המאוחר של המנוחה כפי שהוכח בפני ונקבע על ידי, היה שונה מהקבוע בצוואה, יש ליישם על מקרה זה את הגישה השנייה המקלה כמפורט לעיל, המאפשרת משלוח הצוואה לחברת הביטוח גם לאחר הפטירה- וזאת כביטוי של רצונה האחרון של המנוחה, </w:t>
      </w:r>
      <w:r>
        <w:rPr>
          <w:rFonts w:ascii="Arial" w:hAnsi="Arial"/>
          <w:noProof w:val="0"/>
          <w:u w:val="single"/>
          <w:rtl/>
        </w:rPr>
        <w:t>שעה שהוכח בפני שרצונה האחרון של המנוחה היה שונה בתכלית</w:t>
      </w:r>
      <w:r>
        <w:rPr>
          <w:rFonts w:ascii="Arial" w:hAnsi="Arial"/>
          <w:noProof w:val="0"/>
          <w:rtl/>
        </w:rPr>
        <w:t>.</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הצמצום בהלכת פישר לא נועד למקרה בו רצונה המאוחר המוכח של המנוחה הינו שונה מהוראות הצוואה שנערכה קודם לכן, ובמקרים בהם ברור כי המצווה חזר בו מרצונו לשנות את הוראת המוטבים, ובחר שלא לשלוח את צוואתו לקופה, יש להעדיף את הוראת המוטבים ולא את הוראות הצוואה. מלכתחילה ההסדר לפיו ניתן לראות בצוואה שנשלחה לקופה/חברת הביטוח רק לאחר הפטירה כהוראה לשינוי המוטבים מתבסס על הניסיון להתחקות אחר רצון המנוח. </w:t>
      </w:r>
      <w:r>
        <w:rPr>
          <w:rFonts w:ascii="Arial" w:hAnsi="Arial"/>
          <w:b/>
          <w:bCs/>
          <w:noProof w:val="0"/>
          <w:rtl/>
        </w:rPr>
        <w:t>ברם, משהוכח בפני כי רצונה המאוחר של המנוחה היה אחר מזה העולה מהצוואה, לא מצאתי כי מקרה זה נמנה על אותם מקרים בהם יש לנקוט בגישה המצמצמת והמקלה.</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לכך יש להוסיף כי בפועל חברת הביטוח העבירה לנתבעים את כספי הביטוח לאחר שבחנה את טענות הצדדים ואת תקנונה ואת המצב המשפטי החל, וחברת הביטוח סברה שבנסיבות העניין הוראת המוטבים גוברת על הוראות הצוואה שהומצאה לה ע"י התובע טרם העברת הכספים. התובע אישר דברים אלה מפורשות במסגרת חקירתו הנגדית (ראו עמ' 16 לפרוטוקול שורות 1-3). </w:t>
      </w:r>
    </w:p>
    <w:p w:rsidR="00284A82" w:rsidRDefault="00284A82" w:rsidP="00284A82">
      <w:pPr>
        <w:pStyle w:val="a3"/>
        <w:spacing w:line="360" w:lineRule="auto"/>
        <w:ind w:left="425"/>
        <w:jc w:val="both"/>
        <w:rPr>
          <w:rFonts w:ascii="Arial" w:hAnsi="Arial"/>
          <w:noProof w:val="0"/>
        </w:rPr>
      </w:pPr>
      <w:r>
        <w:rPr>
          <w:rFonts w:ascii="Arial" w:hAnsi="Arial"/>
          <w:noProof w:val="0"/>
          <w:rtl/>
        </w:rPr>
        <w:t>במצב דברים זה, וכפי שנקבע לעיל, לטעמי כלל לא קמה עילת תביעה עצמאית של התובע כנגד הנתבעים לקבלת כספי הביטוח אשר שולמו להם כדין, ובכל מקרה התובע לא פירט ולא הוכיח קיומה של עילת תביעה כנ"ל.</w:t>
      </w:r>
    </w:p>
    <w:p w:rsidR="00284A82" w:rsidRDefault="00284A82" w:rsidP="00284A82">
      <w:pPr>
        <w:pStyle w:val="a3"/>
        <w:spacing w:line="360" w:lineRule="auto"/>
        <w:ind w:left="425"/>
        <w:jc w:val="both"/>
        <w:rPr>
          <w:rFonts w:ascii="Arial" w:hAnsi="Arial"/>
          <w:noProof w:val="0"/>
          <w:sz w:val="20"/>
          <w:szCs w:val="20"/>
          <w:rtl/>
        </w:rPr>
      </w:pPr>
    </w:p>
    <w:p w:rsidR="00284A82" w:rsidRDefault="00284A82" w:rsidP="00284A82">
      <w:pPr>
        <w:pStyle w:val="a3"/>
        <w:numPr>
          <w:ilvl w:val="0"/>
          <w:numId w:val="1"/>
        </w:numPr>
        <w:spacing w:line="360" w:lineRule="auto"/>
        <w:ind w:left="425"/>
        <w:jc w:val="both"/>
        <w:rPr>
          <w:rFonts w:ascii="Arial" w:hAnsi="Arial"/>
          <w:b/>
          <w:bCs/>
          <w:noProof w:val="0"/>
          <w:rtl/>
        </w:rPr>
      </w:pPr>
      <w:r>
        <w:rPr>
          <w:rFonts w:ascii="Arial" w:hAnsi="Arial"/>
          <w:b/>
          <w:bCs/>
          <w:noProof w:val="0"/>
          <w:rtl/>
        </w:rPr>
        <w:t xml:space="preserve">אשר על כן, ולאור כל שפורט לעיל, התביעה הכספית שהגיש התובע כנגד הנתבעים נדחית בזאת על כל חלקיה. </w:t>
      </w:r>
    </w:p>
    <w:p w:rsidR="00284A82" w:rsidRDefault="00284A82" w:rsidP="00284A82">
      <w:pPr>
        <w:spacing w:line="360" w:lineRule="auto"/>
        <w:ind w:left="65"/>
        <w:jc w:val="both"/>
        <w:rPr>
          <w:rFonts w:ascii="Arial" w:hAnsi="Arial"/>
          <w:noProof w:val="0"/>
        </w:rPr>
      </w:pPr>
    </w:p>
    <w:p w:rsidR="00284A82" w:rsidRDefault="00284A82" w:rsidP="00284A82">
      <w:pPr>
        <w:pStyle w:val="a3"/>
        <w:numPr>
          <w:ilvl w:val="0"/>
          <w:numId w:val="6"/>
        </w:numPr>
        <w:spacing w:line="360" w:lineRule="auto"/>
        <w:jc w:val="both"/>
        <w:rPr>
          <w:rFonts w:ascii="Arial" w:hAnsi="Arial"/>
          <w:b/>
          <w:bCs/>
          <w:noProof w:val="0"/>
          <w:sz w:val="26"/>
          <w:szCs w:val="26"/>
          <w:u w:val="single"/>
        </w:rPr>
      </w:pPr>
      <w:r>
        <w:rPr>
          <w:rFonts w:ascii="Arial" w:hAnsi="Arial"/>
          <w:b/>
          <w:bCs/>
          <w:noProof w:val="0"/>
          <w:sz w:val="26"/>
          <w:szCs w:val="26"/>
          <w:u w:val="single"/>
          <w:rtl/>
        </w:rPr>
        <w:t>התביעה לצו עשה</w:t>
      </w:r>
    </w:p>
    <w:p w:rsidR="00284A82" w:rsidRDefault="00284A82" w:rsidP="00284A82">
      <w:pPr>
        <w:spacing w:line="360" w:lineRule="auto"/>
        <w:ind w:left="6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lastRenderedPageBreak/>
        <w:t xml:space="preserve">ההכרעה הנדרשת בתובענה זו הינה ביחס לפרשנות המונח "חליפתה" המופיע ברישא לסעיף 4 לצוואה, וכן ביחס להוראות סעיף 4(ג) לצוואה הקובע כי בן הזוג שיאריך ימים יהא זכאי להתגורר בדירת המגורים לכל ימי חייו. </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לטענת התובע, הפרשנות הנכונה הינה שהצוואה קובעת שבן הזוג שיאריך ימים יהא רשאי למכור את דירת המגורים ולרכוש דירת מגורים אחרת תחתיה, וזכות המגורים שניתנה תישמר לו גם בדירת המגורים החליפית שירכוש.</w:t>
      </w:r>
    </w:p>
    <w:p w:rsidR="00284A82" w:rsidRDefault="00284A82" w:rsidP="00284A82">
      <w:pPr>
        <w:pStyle w:val="a3"/>
        <w:rPr>
          <w:rFonts w:ascii="Arial" w:hAnsi="Arial"/>
          <w:noProof w:val="0"/>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לטענת הנתבעים המונח חליפתה הנזכר ברישא לסעיף 4 לצוואה מתייחס אך ורק למקרה בו בני הזוג היו מחליטים יחדיו </w:t>
      </w:r>
      <w:r>
        <w:rPr>
          <w:rFonts w:ascii="Arial" w:hAnsi="Arial"/>
          <w:b/>
          <w:bCs/>
          <w:noProof w:val="0"/>
          <w:rtl/>
        </w:rPr>
        <w:t>בחייהם</w:t>
      </w:r>
      <w:r>
        <w:rPr>
          <w:rFonts w:ascii="Arial" w:hAnsi="Arial"/>
          <w:noProof w:val="0"/>
          <w:rtl/>
        </w:rPr>
        <w:t xml:space="preserve"> למכור את דירת המגורים ולרכוש דירה אחרת תחתיה, ואילו זכות המגורים ניתנה לגבי דירת המגורים שתהא בבעלות בני הזוג במועד פטירת מי מהם. ברם, משדירת המגורים לא נמכרה טרם פטירת המנוחה, אזי התובע זכאי אמנם להמשיך להתגורר בדירה זו כל ימי חייו בהתאם להוראות סעיף 4(ג) לצוואה, ברם הוא אינו רשאי למכור את הדירה ולרכוש דירה אחרת תחתיה ולעמוד על זכות המגורים בדירה חלופית זו.</w:t>
      </w:r>
    </w:p>
    <w:p w:rsidR="00284A82" w:rsidRDefault="00284A82" w:rsidP="00284A82">
      <w:pPr>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המסגרת הנורמטיבית למלאכת פרשנות צוואה, קבועה בסעיף 54(א) לחוק הירושה, </w:t>
      </w:r>
      <w:proofErr w:type="spellStart"/>
      <w:r>
        <w:rPr>
          <w:rFonts w:ascii="Arial" w:hAnsi="Arial"/>
          <w:noProof w:val="0"/>
          <w:rtl/>
        </w:rPr>
        <w:t>התשכ"ה</w:t>
      </w:r>
      <w:proofErr w:type="spellEnd"/>
      <w:r>
        <w:rPr>
          <w:rFonts w:ascii="Arial" w:hAnsi="Arial"/>
          <w:noProof w:val="0"/>
          <w:rtl/>
        </w:rPr>
        <w:t xml:space="preserve"> 1965, וכהאי לישנא:</w:t>
      </w:r>
    </w:p>
    <w:p w:rsidR="00284A82" w:rsidRDefault="00284A82" w:rsidP="00284A82">
      <w:pPr>
        <w:pStyle w:val="a3"/>
        <w:rPr>
          <w:rFonts w:ascii="Arial" w:hAnsi="Arial"/>
          <w:noProof w:val="0"/>
          <w:rtl/>
        </w:rPr>
      </w:pPr>
    </w:p>
    <w:p w:rsidR="00284A82" w:rsidRDefault="00284A82" w:rsidP="00284A82">
      <w:pPr>
        <w:pStyle w:val="a3"/>
        <w:spacing w:line="360" w:lineRule="auto"/>
        <w:ind w:left="1417" w:right="1418" w:hanging="992"/>
        <w:jc w:val="both"/>
        <w:rPr>
          <w:rFonts w:ascii="Arial" w:hAnsi="Arial"/>
          <w:b/>
          <w:bCs/>
          <w:i/>
          <w:iCs/>
          <w:noProof w:val="0"/>
        </w:rPr>
      </w:pPr>
      <w:r>
        <w:rPr>
          <w:rFonts w:ascii="Arial" w:hAnsi="Arial"/>
          <w:b/>
          <w:bCs/>
          <w:i/>
          <w:iCs/>
          <w:noProof w:val="0"/>
          <w:rtl/>
        </w:rPr>
        <w:t xml:space="preserve">              " מפרשים צוואה לפי אומד דעתו של המצווה כפי שהיא משתמעת מתוך הצוואה, ובמידה שאינה משתמעת מתוכה – כפי שהיא משתמעת מתוך הנסיבות."  </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עקרון העל העומד בפני בית המשפט בבואו לפרש צוואה הוא כיבוד רצון המנוח (ראו ע"א 1182/90 </w:t>
      </w:r>
      <w:r>
        <w:rPr>
          <w:rFonts w:ascii="Arial" w:hAnsi="Arial"/>
          <w:b/>
          <w:bCs/>
          <w:noProof w:val="0"/>
          <w:rtl/>
        </w:rPr>
        <w:t xml:space="preserve">שחם נ' </w:t>
      </w:r>
      <w:proofErr w:type="spellStart"/>
      <w:r>
        <w:rPr>
          <w:rFonts w:ascii="Arial" w:hAnsi="Arial"/>
          <w:b/>
          <w:bCs/>
          <w:noProof w:val="0"/>
          <w:rtl/>
        </w:rPr>
        <w:t>רוטמן</w:t>
      </w:r>
      <w:proofErr w:type="spellEnd"/>
      <w:r>
        <w:rPr>
          <w:rFonts w:ascii="Arial" w:hAnsi="Arial"/>
          <w:noProof w:val="0"/>
          <w:rtl/>
        </w:rPr>
        <w:t xml:space="preserve"> פ"ד מו(4), 330, 335; ע"א 1212/91 </w:t>
      </w:r>
      <w:r>
        <w:rPr>
          <w:rFonts w:ascii="Arial" w:hAnsi="Arial"/>
          <w:b/>
          <w:bCs/>
          <w:noProof w:val="0"/>
          <w:rtl/>
        </w:rPr>
        <w:t xml:space="preserve">קרן לב"י נ' </w:t>
      </w:r>
      <w:proofErr w:type="spellStart"/>
      <w:r>
        <w:rPr>
          <w:rFonts w:ascii="Arial" w:hAnsi="Arial"/>
          <w:b/>
          <w:bCs/>
          <w:noProof w:val="0"/>
          <w:rtl/>
        </w:rPr>
        <w:t>בינשטוק</w:t>
      </w:r>
      <w:proofErr w:type="spellEnd"/>
      <w:r>
        <w:rPr>
          <w:rFonts w:ascii="Arial" w:hAnsi="Arial"/>
          <w:noProof w:val="0"/>
          <w:rtl/>
        </w:rPr>
        <w:t xml:space="preserve"> פ"ד מח(3), 705, 725; ע"א 4660/94 </w:t>
      </w:r>
      <w:r>
        <w:rPr>
          <w:rFonts w:ascii="Arial" w:hAnsi="Arial"/>
          <w:b/>
          <w:bCs/>
          <w:noProof w:val="0"/>
          <w:rtl/>
        </w:rPr>
        <w:t xml:space="preserve">היועץ המשפטי לממשלה נגד </w:t>
      </w:r>
      <w:proofErr w:type="spellStart"/>
      <w:r>
        <w:rPr>
          <w:rFonts w:ascii="Arial" w:hAnsi="Arial"/>
          <w:b/>
          <w:bCs/>
          <w:noProof w:val="0"/>
          <w:rtl/>
        </w:rPr>
        <w:t>לשיצקי</w:t>
      </w:r>
      <w:proofErr w:type="spellEnd"/>
      <w:r>
        <w:rPr>
          <w:rFonts w:ascii="Arial" w:hAnsi="Arial"/>
          <w:noProof w:val="0"/>
          <w:rtl/>
        </w:rPr>
        <w:t>, לא פורסם [פורסם בנבו]).</w:t>
      </w:r>
    </w:p>
    <w:p w:rsidR="00284A82" w:rsidRDefault="00284A82" w:rsidP="00284A82">
      <w:pPr>
        <w:pStyle w:val="a3"/>
        <w:spacing w:line="360" w:lineRule="auto"/>
        <w:ind w:left="425"/>
        <w:jc w:val="both"/>
        <w:rPr>
          <w:rFonts w:ascii="Arial" w:hAnsi="Arial"/>
          <w:noProof w:val="0"/>
          <w:rtl/>
        </w:rPr>
      </w:pPr>
      <w:r>
        <w:rPr>
          <w:rFonts w:ascii="Arial" w:hAnsi="Arial"/>
          <w:noProof w:val="0"/>
          <w:rtl/>
        </w:rPr>
        <w:t xml:space="preserve"> האינטרס לקיים אחר רצון המצווה הוא האינטרס היחידי הראוי להגנה, והאינטרסים האחרים, יהיו אשר יהיו, נדחים מפניו.</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לאורך השנים, נהגו בתי המשפט לפרש צוואות באמצעות פרשנות דו שלבית, כאשר </w:t>
      </w:r>
      <w:r>
        <w:rPr>
          <w:rFonts w:ascii="Arial" w:hAnsi="Arial"/>
          <w:noProof w:val="0"/>
          <w:u w:val="single"/>
          <w:rtl/>
        </w:rPr>
        <w:t>בשלב הראשון</w:t>
      </w:r>
      <w:r>
        <w:rPr>
          <w:rFonts w:ascii="Arial" w:hAnsi="Arial"/>
          <w:noProof w:val="0"/>
          <w:rtl/>
        </w:rPr>
        <w:t xml:space="preserve"> נלמדה כוונת המצווה מתוך לשון הצוואה עצמה, ורק אם לא עלה בידי בית המשפט לפרש את הצוואה בדרך זו, פנו </w:t>
      </w:r>
      <w:r>
        <w:rPr>
          <w:rFonts w:ascii="Arial" w:hAnsi="Arial"/>
          <w:noProof w:val="0"/>
          <w:u w:val="single"/>
          <w:rtl/>
        </w:rPr>
        <w:t>לשלב השני</w:t>
      </w:r>
      <w:r>
        <w:rPr>
          <w:rFonts w:ascii="Arial" w:hAnsi="Arial"/>
          <w:noProof w:val="0"/>
          <w:rtl/>
        </w:rPr>
        <w:t xml:space="preserve"> לבחון את כוונת המצווה מתוך נסיבות חיצוניות ע"א 239/89 </w:t>
      </w:r>
      <w:r>
        <w:rPr>
          <w:rFonts w:ascii="Arial" w:hAnsi="Arial"/>
          <w:b/>
          <w:bCs/>
          <w:noProof w:val="0"/>
          <w:rtl/>
        </w:rPr>
        <w:t>רוזה (</w:t>
      </w:r>
      <w:proofErr w:type="spellStart"/>
      <w:r>
        <w:rPr>
          <w:rFonts w:ascii="Arial" w:hAnsi="Arial"/>
          <w:b/>
          <w:bCs/>
          <w:noProof w:val="0"/>
          <w:rtl/>
        </w:rPr>
        <w:t>רוזליה</w:t>
      </w:r>
      <w:proofErr w:type="spellEnd"/>
      <w:r>
        <w:rPr>
          <w:rFonts w:ascii="Arial" w:hAnsi="Arial"/>
          <w:b/>
          <w:bCs/>
          <w:noProof w:val="0"/>
          <w:rtl/>
        </w:rPr>
        <w:t>) שרש נ' יוסף גלילי</w:t>
      </w:r>
      <w:r>
        <w:rPr>
          <w:rFonts w:ascii="Arial" w:hAnsi="Arial"/>
          <w:noProof w:val="0"/>
          <w:rtl/>
        </w:rPr>
        <w:t>, מו(1) 861 (1992)).</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lastRenderedPageBreak/>
        <w:t xml:space="preserve">בפסיקה מאוחרת יותר, התעוררה מחלוקת בעניין השיטה הפרשנית בה על בית המשפט לנקוט בבואו לפרש צוואה: </w:t>
      </w:r>
    </w:p>
    <w:p w:rsidR="00284A82" w:rsidRDefault="00284A82" w:rsidP="00284A82">
      <w:pPr>
        <w:spacing w:line="360" w:lineRule="auto"/>
        <w:ind w:left="425"/>
        <w:jc w:val="both"/>
        <w:rPr>
          <w:rFonts w:ascii="Arial" w:hAnsi="Arial"/>
          <w:noProof w:val="0"/>
        </w:rPr>
      </w:pPr>
      <w:r>
        <w:rPr>
          <w:rFonts w:ascii="Arial" w:hAnsi="Arial"/>
          <w:b/>
          <w:bCs/>
          <w:noProof w:val="0"/>
          <w:rtl/>
        </w:rPr>
        <w:t>גישה אחת</w:t>
      </w:r>
      <w:r>
        <w:rPr>
          <w:rFonts w:ascii="Arial" w:hAnsi="Arial"/>
          <w:noProof w:val="0"/>
          <w:rtl/>
        </w:rPr>
        <w:t xml:space="preserve"> קובעת כאמור כי תחילה יש לפנות לצוואה עצמה, ורק באם לא ניתן יהיה להבין מתוכה מהי כוונת המצווה, יש לפנות לנסיבות חיצוניות. </w:t>
      </w:r>
    </w:p>
    <w:p w:rsidR="00284A82" w:rsidRDefault="00284A82" w:rsidP="00284A82">
      <w:pPr>
        <w:spacing w:line="360" w:lineRule="auto"/>
        <w:ind w:left="425"/>
        <w:jc w:val="both"/>
        <w:rPr>
          <w:rFonts w:ascii="Arial" w:hAnsi="Arial"/>
          <w:noProof w:val="0"/>
        </w:rPr>
      </w:pPr>
      <w:r>
        <w:rPr>
          <w:rFonts w:ascii="Arial" w:hAnsi="Arial"/>
          <w:b/>
          <w:bCs/>
          <w:noProof w:val="0"/>
          <w:rtl/>
        </w:rPr>
        <w:t>גישה אחרת</w:t>
      </w:r>
      <w:r>
        <w:rPr>
          <w:rFonts w:ascii="Arial" w:hAnsi="Arial"/>
          <w:noProof w:val="0"/>
          <w:rtl/>
        </w:rPr>
        <w:t xml:space="preserve">, אשר הובעה בפסק הדין שניתן ע"י כב' הנשיא השופט א. ברק במסגרת ע"א 1900/96 </w:t>
      </w:r>
      <w:r>
        <w:rPr>
          <w:rFonts w:ascii="Arial" w:hAnsi="Arial"/>
          <w:b/>
          <w:bCs/>
          <w:noProof w:val="0"/>
          <w:rtl/>
        </w:rPr>
        <w:t xml:space="preserve">איזבל </w:t>
      </w:r>
      <w:proofErr w:type="spellStart"/>
      <w:r>
        <w:rPr>
          <w:rFonts w:ascii="Arial" w:hAnsi="Arial"/>
          <w:b/>
          <w:bCs/>
          <w:noProof w:val="0"/>
          <w:rtl/>
        </w:rPr>
        <w:t>טלמצ'יו</w:t>
      </w:r>
      <w:proofErr w:type="spellEnd"/>
      <w:r>
        <w:rPr>
          <w:rFonts w:ascii="Arial" w:hAnsi="Arial"/>
          <w:b/>
          <w:bCs/>
          <w:noProof w:val="0"/>
          <w:rtl/>
        </w:rPr>
        <w:t xml:space="preserve"> נ' האפוטרופוס הכללי</w:t>
      </w:r>
      <w:r>
        <w:rPr>
          <w:rFonts w:ascii="Arial" w:hAnsi="Arial"/>
          <w:noProof w:val="0"/>
          <w:rtl/>
        </w:rPr>
        <w:t xml:space="preserve">, </w:t>
      </w:r>
      <w:proofErr w:type="spellStart"/>
      <w:r>
        <w:rPr>
          <w:rFonts w:ascii="Arial" w:hAnsi="Arial"/>
          <w:noProof w:val="0"/>
          <w:rtl/>
        </w:rPr>
        <w:t>נג</w:t>
      </w:r>
      <w:proofErr w:type="spellEnd"/>
      <w:r>
        <w:rPr>
          <w:rFonts w:ascii="Arial" w:hAnsi="Arial"/>
          <w:noProof w:val="0"/>
          <w:rtl/>
        </w:rPr>
        <w:t>(2) 817 (1999), גורסת כי במקרים מסוימים הדין מאפשר הגשמת אומד דעתו של המצווה, גם אם לאומד דעת זה אין עיגון מפורש בלשון הצוואה.</w:t>
      </w:r>
    </w:p>
    <w:p w:rsidR="00284A82" w:rsidRDefault="00284A82" w:rsidP="00284A82">
      <w:pPr>
        <w:pStyle w:val="a3"/>
        <w:spacing w:line="360" w:lineRule="auto"/>
        <w:ind w:left="425"/>
        <w:jc w:val="both"/>
        <w:rPr>
          <w:rFonts w:ascii="Arial" w:hAnsi="Arial"/>
          <w:noProof w:val="0"/>
          <w:rtl/>
        </w:rPr>
      </w:pPr>
      <w:r>
        <w:rPr>
          <w:rFonts w:ascii="Arial" w:hAnsi="Arial"/>
          <w:noProof w:val="0"/>
          <w:rtl/>
        </w:rPr>
        <w:t xml:space="preserve">בפסקי דין מאוחרים שניתנו בבית משפט העליון, הובעה הסתייגות מגישה זו (וראו לעניין זה פסק דינו של כב' השופט </w:t>
      </w:r>
      <w:proofErr w:type="spellStart"/>
      <w:r>
        <w:rPr>
          <w:rFonts w:ascii="Arial" w:hAnsi="Arial"/>
          <w:noProof w:val="0"/>
          <w:rtl/>
        </w:rPr>
        <w:t>דנציגר</w:t>
      </w:r>
      <w:proofErr w:type="spellEnd"/>
      <w:r>
        <w:rPr>
          <w:rFonts w:ascii="Arial" w:hAnsi="Arial"/>
          <w:noProof w:val="0"/>
          <w:rtl/>
        </w:rPr>
        <w:t xml:space="preserve"> בע"א 7631/12 </w:t>
      </w:r>
      <w:r>
        <w:rPr>
          <w:rFonts w:ascii="Arial" w:hAnsi="Arial"/>
          <w:b/>
          <w:bCs/>
          <w:noProof w:val="0"/>
          <w:rtl/>
        </w:rPr>
        <w:t xml:space="preserve">ישראל </w:t>
      </w:r>
      <w:proofErr w:type="spellStart"/>
      <w:r>
        <w:rPr>
          <w:rFonts w:ascii="Arial" w:hAnsi="Arial"/>
          <w:b/>
          <w:bCs/>
          <w:noProof w:val="0"/>
          <w:rtl/>
        </w:rPr>
        <w:t>אמסטר</w:t>
      </w:r>
      <w:proofErr w:type="spellEnd"/>
      <w:r>
        <w:rPr>
          <w:rFonts w:ascii="Arial" w:hAnsi="Arial"/>
          <w:b/>
          <w:bCs/>
          <w:noProof w:val="0"/>
          <w:rtl/>
        </w:rPr>
        <w:t xml:space="preserve"> נ' קרן קיימת לישראל</w:t>
      </w:r>
      <w:r>
        <w:rPr>
          <w:rFonts w:ascii="Arial" w:hAnsi="Arial"/>
          <w:noProof w:val="0"/>
          <w:rtl/>
        </w:rPr>
        <w:t xml:space="preserve"> (פורסם בנבו, 12.08.2015), וכן פסק דינו של כב' השופט הנדל </w:t>
      </w:r>
      <w:proofErr w:type="spellStart"/>
      <w:r>
        <w:rPr>
          <w:rFonts w:ascii="Arial" w:hAnsi="Arial"/>
          <w:noProof w:val="0"/>
          <w:rtl/>
        </w:rPr>
        <w:t>בבע"מ</w:t>
      </w:r>
      <w:proofErr w:type="spellEnd"/>
      <w:r>
        <w:rPr>
          <w:rFonts w:ascii="Arial" w:hAnsi="Arial"/>
          <w:noProof w:val="0"/>
          <w:rtl/>
        </w:rPr>
        <w:t xml:space="preserve"> 8300/11 </w:t>
      </w:r>
      <w:r>
        <w:rPr>
          <w:rFonts w:ascii="Arial" w:hAnsi="Arial"/>
          <w:b/>
          <w:bCs/>
          <w:noProof w:val="0"/>
          <w:rtl/>
        </w:rPr>
        <w:t>פלונית נ' פלוני</w:t>
      </w:r>
      <w:r>
        <w:rPr>
          <w:rFonts w:ascii="Arial" w:hAnsi="Arial"/>
          <w:noProof w:val="0"/>
          <w:rtl/>
        </w:rPr>
        <w:t xml:space="preserve"> (פורסם בנבו,2.8.2012)). </w:t>
      </w:r>
    </w:p>
    <w:p w:rsidR="00284A82" w:rsidRDefault="00284A82" w:rsidP="00284A82">
      <w:pPr>
        <w:pStyle w:val="a3"/>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בין כך ובין כך, אין חולק כי העיקרון המנחה הינו הניסיון להתחקות אחר רצון המנוח, "והמחלוקת הינה בסוגיה כיצד ניתן לעמוד על אומד דעתו של המצווה בצורה המיטבית" (דברי כב' השופט י. שקד </w:t>
      </w:r>
      <w:proofErr w:type="spellStart"/>
      <w:r>
        <w:rPr>
          <w:rFonts w:ascii="Arial" w:hAnsi="Arial"/>
          <w:noProof w:val="0"/>
          <w:rtl/>
        </w:rPr>
        <w:t>בת"ע</w:t>
      </w:r>
      <w:proofErr w:type="spellEnd"/>
      <w:r>
        <w:rPr>
          <w:rFonts w:ascii="Arial" w:hAnsi="Arial"/>
          <w:noProof w:val="0"/>
          <w:rtl/>
        </w:rPr>
        <w:t xml:space="preserve"> 51618-07-15 </w:t>
      </w:r>
      <w:r>
        <w:rPr>
          <w:rFonts w:ascii="Arial" w:hAnsi="Arial"/>
          <w:b/>
          <w:bCs/>
          <w:noProof w:val="0"/>
          <w:rtl/>
        </w:rPr>
        <w:t>פלונים נ' אלמונים</w:t>
      </w:r>
      <w:r>
        <w:rPr>
          <w:rFonts w:ascii="Arial" w:hAnsi="Arial"/>
          <w:noProof w:val="0"/>
          <w:rtl/>
        </w:rPr>
        <w:t xml:space="preserve"> [פורסם בנבו]).</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b/>
          <w:bCs/>
          <w:noProof w:val="0"/>
        </w:rPr>
      </w:pPr>
      <w:r>
        <w:rPr>
          <w:rFonts w:ascii="Arial" w:hAnsi="Arial"/>
          <w:b/>
          <w:bCs/>
          <w:noProof w:val="0"/>
          <w:rtl/>
        </w:rPr>
        <w:t xml:space="preserve">כפי שיפורט להלן, במקרה </w:t>
      </w:r>
      <w:proofErr w:type="spellStart"/>
      <w:r>
        <w:rPr>
          <w:rFonts w:ascii="Arial" w:hAnsi="Arial"/>
          <w:b/>
          <w:bCs/>
          <w:noProof w:val="0"/>
          <w:rtl/>
        </w:rPr>
        <w:t>שבנדוננו</w:t>
      </w:r>
      <w:proofErr w:type="spellEnd"/>
      <w:r>
        <w:rPr>
          <w:rFonts w:ascii="Arial" w:hAnsi="Arial"/>
          <w:b/>
          <w:bCs/>
          <w:noProof w:val="0"/>
          <w:rtl/>
        </w:rPr>
        <w:t>, מסקנתי הינה כי רצונה של המנוחה היה להעניק זכות מגורים לתובע בדירת המגורים שבבעלותם המשותפת לכל ימי חייו, ברם לא הייתה לה כל כוונה לאפשר לתובע למכור את הדירה לאחר פטירתה ולרכוש דירה אחרת תחתיה תוך שמירת זכות המגורים הנ"ל- כפי שהוא מבקש לעשות כעת, ואין כל מקום לגישה הפרשנית שמציע התובע.</w:t>
      </w:r>
    </w:p>
    <w:p w:rsidR="00284A82" w:rsidRDefault="00284A82" w:rsidP="00284A82">
      <w:pPr>
        <w:pStyle w:val="a3"/>
        <w:rPr>
          <w:rFonts w:ascii="Arial" w:hAnsi="Arial"/>
          <w:b/>
          <w:bCs/>
          <w:noProof w:val="0"/>
          <w:rtl/>
        </w:rPr>
      </w:pPr>
    </w:p>
    <w:p w:rsidR="00284A82" w:rsidRDefault="00284A82" w:rsidP="00284A82">
      <w:pPr>
        <w:pStyle w:val="a3"/>
        <w:spacing w:line="360" w:lineRule="auto"/>
        <w:ind w:left="425"/>
        <w:jc w:val="both"/>
        <w:rPr>
          <w:rFonts w:ascii="Arial" w:hAnsi="Arial"/>
          <w:b/>
          <w:bCs/>
          <w:noProof w:val="0"/>
        </w:rPr>
      </w:pPr>
      <w:r>
        <w:rPr>
          <w:rFonts w:ascii="Arial" w:hAnsi="Arial"/>
          <w:b/>
          <w:bCs/>
          <w:noProof w:val="0"/>
          <w:rtl/>
        </w:rPr>
        <w:t>להלן אפרט את טעמיי לקביעה זו.</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הוראות הצוואה הינן ברורות ונהירות וכוונת המנוחה עולה מתוך הוראותיה כך שממילא אין צורך להידרש לנסיבות חיצוניות לצורך פרשנות הוראות הצוואה. בצוואה אין כל הוראה מפורשת המסמיכה את בן הזוג שיאריך ימים להוציא את הדירה למכירה ולרכוש דירת מגורים אחרת תחתיה, תוך שמירת זכות המגורים בדירה החלופית שתירכש. </w:t>
      </w:r>
    </w:p>
    <w:p w:rsidR="00284A82" w:rsidRDefault="00284A82" w:rsidP="00284A82">
      <w:pPr>
        <w:pStyle w:val="a3"/>
        <w:spacing w:line="360" w:lineRule="auto"/>
        <w:ind w:left="425"/>
        <w:jc w:val="both"/>
        <w:rPr>
          <w:rFonts w:ascii="Arial" w:hAnsi="Arial"/>
          <w:noProof w:val="0"/>
          <w:rtl/>
        </w:rPr>
      </w:pPr>
      <w:r>
        <w:rPr>
          <w:rFonts w:ascii="Arial" w:hAnsi="Arial"/>
          <w:noProof w:val="0"/>
          <w:rtl/>
        </w:rPr>
        <w:t>ככל שבני הזוג אכן חפצו לאפשר את מכירת הדירה לאחר פטירת מי מהם, ורכישת דירה אחרת תחתיה תוך שמירת זכות המגורים לבן הזוג שיאריך ימים כמפורט לעיל, היה צורך לציין זאת מפורשות במסגרת הצוואה.</w:t>
      </w:r>
    </w:p>
    <w:p w:rsidR="00284A82" w:rsidRDefault="00284A82" w:rsidP="00284A82">
      <w:pPr>
        <w:spacing w:line="360" w:lineRule="auto"/>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lastRenderedPageBreak/>
        <w:t xml:space="preserve">ויודגש; בסעיף 4ד' לצוואה ישנה התייחסות מפורשת וקונקרטית לעניין מכירת הדירה, ונקבע כי הדירה תימכר רק לאחר אריכות ימיהם ושנותיהם של </w:t>
      </w:r>
      <w:r>
        <w:rPr>
          <w:rFonts w:ascii="Arial" w:hAnsi="Arial"/>
          <w:b/>
          <w:bCs/>
          <w:noProof w:val="0"/>
          <w:rtl/>
        </w:rPr>
        <w:t>שני</w:t>
      </w:r>
      <w:r>
        <w:rPr>
          <w:rFonts w:ascii="Arial" w:hAnsi="Arial"/>
          <w:noProof w:val="0"/>
          <w:rtl/>
        </w:rPr>
        <w:t xml:space="preserve"> בני הזוג, וכהאי לישנא:</w:t>
      </w:r>
    </w:p>
    <w:p w:rsidR="00284A82" w:rsidRDefault="00284A82" w:rsidP="00284A82">
      <w:pPr>
        <w:pStyle w:val="a3"/>
        <w:spacing w:line="360" w:lineRule="auto"/>
        <w:ind w:left="425"/>
        <w:jc w:val="both"/>
        <w:rPr>
          <w:rFonts w:ascii="Arial" w:hAnsi="Arial"/>
          <w:noProof w:val="0"/>
        </w:rPr>
      </w:pPr>
    </w:p>
    <w:p w:rsidR="00284A82" w:rsidRDefault="00284A82" w:rsidP="0058597D">
      <w:pPr>
        <w:pStyle w:val="a3"/>
        <w:spacing w:line="360" w:lineRule="auto"/>
        <w:ind w:left="1417" w:right="1418" w:hanging="992"/>
        <w:jc w:val="both"/>
        <w:rPr>
          <w:rFonts w:ascii="Arial" w:hAnsi="Arial"/>
          <w:b/>
          <w:bCs/>
          <w:i/>
          <w:iCs/>
          <w:noProof w:val="0"/>
        </w:rPr>
      </w:pPr>
      <w:r>
        <w:rPr>
          <w:rFonts w:ascii="Arial" w:hAnsi="Arial"/>
          <w:b/>
          <w:bCs/>
          <w:i/>
          <w:iCs/>
          <w:noProof w:val="0"/>
          <w:rtl/>
        </w:rPr>
        <w:t xml:space="preserve">              " לאחר ששנינו- לא נהיה עוד בין החיים, תימכר דירת המגורים, לכל המרבה במחיר והתמורה תחולק בין ילדי </w:t>
      </w:r>
      <w:r w:rsidR="0058597D">
        <w:rPr>
          <w:rFonts w:ascii="Arial" w:hAnsi="Arial" w:hint="cs"/>
          <w:b/>
          <w:bCs/>
          <w:i/>
          <w:iCs/>
          <w:noProof w:val="0"/>
          <w:rtl/>
        </w:rPr>
        <w:t>המנוחה</w:t>
      </w:r>
      <w:r>
        <w:rPr>
          <w:rFonts w:ascii="Arial" w:hAnsi="Arial"/>
          <w:b/>
          <w:bCs/>
          <w:i/>
          <w:iCs/>
          <w:noProof w:val="0"/>
          <w:rtl/>
        </w:rPr>
        <w:t xml:space="preserve"> וילדי </w:t>
      </w:r>
      <w:r w:rsidR="0058597D">
        <w:rPr>
          <w:rFonts w:ascii="Arial" w:hAnsi="Arial" w:hint="cs"/>
          <w:b/>
          <w:bCs/>
          <w:i/>
          <w:iCs/>
          <w:noProof w:val="0"/>
          <w:rtl/>
        </w:rPr>
        <w:t>התובע</w:t>
      </w:r>
      <w:r>
        <w:rPr>
          <w:rFonts w:ascii="Arial" w:hAnsi="Arial"/>
          <w:b/>
          <w:bCs/>
          <w:i/>
          <w:iCs/>
          <w:noProof w:val="0"/>
          <w:rtl/>
        </w:rPr>
        <w:t>, כמפורט לעיל."</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spacing w:line="360" w:lineRule="auto"/>
        <w:ind w:left="425"/>
        <w:jc w:val="both"/>
        <w:rPr>
          <w:rFonts w:ascii="Arial" w:hAnsi="Arial"/>
          <w:b/>
          <w:bCs/>
          <w:noProof w:val="0"/>
          <w:u w:val="single"/>
        </w:rPr>
      </w:pPr>
      <w:r>
        <w:rPr>
          <w:rFonts w:ascii="Arial" w:hAnsi="Arial"/>
          <w:b/>
          <w:bCs/>
          <w:noProof w:val="0"/>
          <w:u w:val="single"/>
          <w:rtl/>
        </w:rPr>
        <w:t>דהיינו: לא רק שהצוואה אינה קובעת כי בן הזוג שיאריך ימים יהא רשאי למכור את הדירה ולרכוש דירה אחרת תחתיה ולהתגורר בדירה זו כל ימי חייו (כטענת התובע), אלא שהצוואה קובעת מפורשות שהדירה תימכר רק לאחר אריכות ימיהם ושנותיהם של שני בני הזוג.</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זכות המגורים שנקבעה בסעיף 4ג' לצוואה, מתייחסת לאפשרות להמשך מגוריו של בן הזוג שיאריך ימים, בדירת המגורים וזאת מבלי שיהיה עליו לשלם תשלום כלשהו ליורשי בן הזוג האחר. הטעם לכך הינו ברור: בני הזוג לא חפצו שבן הזוג שנותר בחיים יידרש ע"י יורשיו של בן הזוג האחר לפנות את הדירה ו/או לפרק את השיתוף בה ו/או לשלם שכר דירה ראוי בגין השימוש בדירה, והסדירו זאת במסגרת הוראות סעיף 4ג' לצוואה.</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spacing w:line="360" w:lineRule="auto"/>
        <w:ind w:left="425"/>
        <w:jc w:val="both"/>
        <w:rPr>
          <w:rFonts w:ascii="Arial" w:hAnsi="Arial"/>
          <w:b/>
          <w:bCs/>
          <w:noProof w:val="0"/>
        </w:rPr>
      </w:pPr>
      <w:r>
        <w:rPr>
          <w:rFonts w:ascii="Arial" w:hAnsi="Arial"/>
          <w:b/>
          <w:bCs/>
          <w:noProof w:val="0"/>
          <w:rtl/>
        </w:rPr>
        <w:t xml:space="preserve">דהיינו: האינטרס שבני הזוג ביקשו להגן עליו היה זכות המגורים של מי מהם שיאריך ימים, כך שאותו בן זוג יוכל להמשיך להתגורר בדירה המשותפת לבני הזוג לכל ימי חייו באין מפריע- זאת מבלי לפגוע בזכויות הקנייניות של יורשי בן הזוג האחר בדירה.  </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ברי כי מקום בו בן הזוג שיאריך ימים לא יבקש לממש זכות מגורים זו, לא ניתן יהא לחייבו להמשיך להתגורר בדירה בניגוד לרצונו. ברם, אין משמעות הדבר שניתנה לבן הזוג שיאריך ימים האפשרות למכור את דירת המגורים ולרכוש דירה אחרת תחתיה תוך "העתקת" זכות המגורים שניתנה לו לדירה החלופית שתירכש, ואין בידי לקבל טענות אלה.</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 xml:space="preserve">גם בחינת הנסיבות החיצוניות לעריכת הצוואה אין עולות בקנה אחד עם טענות התובע. בסעיף 28 לכתב התביעה טען התובע שסעיף 4 לצוואה נוסח כפי שנוסח, מחמת העובדה שהמנוחה כבר חלתה בסרטן ובני הזוג ידעו שזמנה קצוב, ועל כן נקבע בצוואה שהתובע יוכל למכור את דירת המגורים וירכוש דירה אחרת תחתיה לאחר פטירתה, ולכן ברישא לסעיף 4 צוינה המילה "חליפתה" ביחס לדירת המגורים. גרסה זו נסתרה מיניה וביה במהלך חקירתו הנגדית של התובע, עת התובע העיד מפורשות כי דבר מחלתה של המנוחה נודע רק </w:t>
      </w:r>
      <w:r>
        <w:rPr>
          <w:rFonts w:ascii="Arial" w:hAnsi="Arial"/>
          <w:noProof w:val="0"/>
          <w:u w:val="single"/>
          <w:rtl/>
        </w:rPr>
        <w:t>לאחר</w:t>
      </w:r>
      <w:r>
        <w:rPr>
          <w:rFonts w:ascii="Arial" w:hAnsi="Arial"/>
          <w:noProof w:val="0"/>
          <w:rtl/>
        </w:rPr>
        <w:t xml:space="preserve"> עריכת הצוואה ולא קודם לכן, וכהאי לישנא:</w:t>
      </w:r>
    </w:p>
    <w:p w:rsidR="00284A82" w:rsidRDefault="00284A82" w:rsidP="00284A82">
      <w:pPr>
        <w:pStyle w:val="a3"/>
        <w:rPr>
          <w:rFonts w:ascii="Arial" w:hAnsi="Arial"/>
          <w:noProof w:val="0"/>
        </w:rPr>
      </w:pPr>
    </w:p>
    <w:p w:rsidR="00284A82" w:rsidRDefault="00284A82" w:rsidP="00284A82">
      <w:pPr>
        <w:pStyle w:val="a3"/>
        <w:spacing w:line="360" w:lineRule="auto"/>
        <w:ind w:left="1417" w:right="1418" w:hanging="992"/>
        <w:jc w:val="both"/>
        <w:rPr>
          <w:rFonts w:ascii="Arial" w:hAnsi="Arial"/>
          <w:b/>
          <w:bCs/>
          <w:i/>
          <w:iCs/>
          <w:noProof w:val="0"/>
        </w:rPr>
      </w:pPr>
      <w:r>
        <w:rPr>
          <w:rFonts w:ascii="Arial" w:hAnsi="Arial"/>
          <w:b/>
          <w:bCs/>
          <w:i/>
          <w:iCs/>
          <w:noProof w:val="0"/>
          <w:rtl/>
        </w:rPr>
        <w:t xml:space="preserve">       " ש:</w:t>
      </w:r>
      <w:r>
        <w:rPr>
          <w:rFonts w:ascii="Arial" w:hAnsi="Arial"/>
          <w:b/>
          <w:bCs/>
          <w:i/>
          <w:iCs/>
          <w:noProof w:val="0"/>
          <w:rtl/>
        </w:rPr>
        <w:tab/>
        <w:t>ידעת או לא ידעת?</w:t>
      </w:r>
    </w:p>
    <w:p w:rsidR="00284A82" w:rsidRDefault="00284A82" w:rsidP="00284A82">
      <w:pPr>
        <w:pStyle w:val="a3"/>
        <w:spacing w:line="360" w:lineRule="auto"/>
        <w:ind w:left="1417" w:right="1418" w:hanging="697"/>
        <w:jc w:val="both"/>
        <w:rPr>
          <w:rFonts w:ascii="Arial" w:hAnsi="Arial"/>
          <w:b/>
          <w:bCs/>
          <w:i/>
          <w:iCs/>
          <w:noProof w:val="0"/>
          <w:rtl/>
        </w:rPr>
      </w:pPr>
      <w:r>
        <w:rPr>
          <w:rFonts w:ascii="Arial" w:hAnsi="Arial"/>
          <w:b/>
          <w:bCs/>
          <w:i/>
          <w:iCs/>
          <w:noProof w:val="0"/>
          <w:rtl/>
        </w:rPr>
        <w:t xml:space="preserve">     ת:</w:t>
      </w:r>
      <w:r>
        <w:rPr>
          <w:rFonts w:ascii="Arial" w:hAnsi="Arial"/>
          <w:b/>
          <w:bCs/>
          <w:i/>
          <w:iCs/>
          <w:noProof w:val="0"/>
          <w:rtl/>
        </w:rPr>
        <w:tab/>
        <w:t>גם לאחר הבדיקות נאמר לנו, וגילינו בדיעבד שהיא הייתה חולה, בעת כתיבת הצוואה לא ידענו. אבקש להוסיף כי בנובמבר 2017, כחודשיים שלושה לפני הצוואה, התחלנו לעשות סבב של בדיקות מכל המינים והסוגים הקשורים בזה שהייתה לה בעיה בקיבה שהיא הייתה מתחילה לאכול ולאחר שניים שלושה ביסים הייתה נסתמת ואז התחלנו ללכת לרופאים והלכה לכל מיני בדיקות ובתי חולים ולמכונים, ועדיין בינואר עדיין לא הייתה תוצאה מהבדיקות שהיא חולה, רק לאחר מכן הסתבר."</w:t>
      </w:r>
    </w:p>
    <w:p w:rsidR="00284A82" w:rsidRDefault="0086721A" w:rsidP="00284A82">
      <w:pPr>
        <w:pStyle w:val="a3"/>
        <w:ind w:left="3600" w:firstLine="720"/>
        <w:rPr>
          <w:rFonts w:ascii="Arial" w:hAnsi="Arial"/>
          <w:noProof w:val="0"/>
          <w:rtl/>
        </w:rPr>
      </w:pPr>
      <w:r>
        <w:rPr>
          <w:rFonts w:ascii="Arial" w:hAnsi="Arial"/>
          <w:noProof w:val="0"/>
          <w:rtl/>
        </w:rPr>
        <w:t xml:space="preserve">    </w:t>
      </w:r>
      <w:r w:rsidR="00284A82">
        <w:rPr>
          <w:rFonts w:ascii="Arial" w:hAnsi="Arial"/>
          <w:noProof w:val="0"/>
          <w:rtl/>
        </w:rPr>
        <w:t xml:space="preserve"> (עמ' 13 שורות 33-36 וכן עמ' 14 שורות 1-3)</w:t>
      </w:r>
    </w:p>
    <w:p w:rsidR="00284A82" w:rsidRDefault="00284A82" w:rsidP="00284A82">
      <w:pPr>
        <w:rPr>
          <w:rFonts w:ascii="Arial" w:hAnsi="Arial"/>
          <w:noProof w:val="0"/>
        </w:rPr>
      </w:pPr>
    </w:p>
    <w:p w:rsidR="00284A82" w:rsidRDefault="00284A82" w:rsidP="00284A82">
      <w:pPr>
        <w:spacing w:line="360" w:lineRule="auto"/>
        <w:ind w:left="425"/>
        <w:jc w:val="both"/>
        <w:rPr>
          <w:rFonts w:ascii="Arial" w:hAnsi="Arial"/>
          <w:noProof w:val="0"/>
          <w:rtl/>
        </w:rPr>
      </w:pPr>
      <w:r>
        <w:rPr>
          <w:rFonts w:ascii="Arial" w:hAnsi="Arial"/>
          <w:noProof w:val="0"/>
          <w:rtl/>
        </w:rPr>
        <w:t>דברים דומים עלו גם מתמליל השיחה שהתקיימה בין התובע לנתבעים לאחר פטירת המנוחה (נספח 2 לכתב ההגנה בתביעה הכספית), וגם במסגרת שיחה זו התובע הודה מפורשות שבעת עריכת הצוואה בני הזוג כלל לא ידעו על מחלתה של המנוחה "וכלל לא חשבו בכיוון הזה" (עמ' 18 לתמליל שורות 6-8).</w:t>
      </w:r>
    </w:p>
    <w:p w:rsidR="00284A82" w:rsidRDefault="00284A82" w:rsidP="00284A82">
      <w:pPr>
        <w:pStyle w:val="a3"/>
        <w:ind w:left="3600" w:firstLine="720"/>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b/>
          <w:bCs/>
          <w:noProof w:val="0"/>
          <w:rtl/>
        </w:rPr>
      </w:pPr>
      <w:r>
        <w:rPr>
          <w:rFonts w:ascii="Arial" w:hAnsi="Arial"/>
          <w:b/>
          <w:bCs/>
          <w:noProof w:val="0"/>
          <w:rtl/>
        </w:rPr>
        <w:t>משהוכח בפני שדבר מחלת המנוחה נודע לבני הזוג רק לאחר עריכת הצוואה, ברי כי גם לא היה ידוע להם שימיה של המנוחה הינם ספורים, ועל כן גם לא "הוסכם ביניהם" שהתובע יהא רשאי למכור את דירת המגורים המשותפת לאחר פטירת המנוחה על מנת לרכוש דירת מגורים משותפת אחרת תחתיה תוך שמירת זכות המגורים בדירה חלופית זו. לא זו אף זו; מתמליל השיחה הנ"ל עולה כי התובע עצמו הסביר לנתבעים שלאור העובדה שהוא היה מבוגר מהמנוחה ב- 12.5 שנים, בני הזוג סברו בעת עריכת הצוואה שהמנוחה היא שתאריך ימים אחריו (עמ' 18 לתמליל, שורות 4-9).</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המילה חליפתה, הנזכרת ברישא לסעיף 4 לצוואה, מתייחסת למקרה בו בני הזוג ירכשו יחדיו בחייהם דירת מגורים אחרת, ואין בידי לקבל את פרשנותו של התובע אשר אינה מתיישבת עם הוראות הצוואה ועם הגיונם של הדברים.</w:t>
      </w:r>
    </w:p>
    <w:p w:rsidR="00284A82" w:rsidRDefault="00284A82" w:rsidP="00284A82">
      <w:pPr>
        <w:pStyle w:val="a3"/>
        <w:rPr>
          <w:rFonts w:ascii="Arial" w:hAnsi="Arial"/>
          <w:noProof w:val="0"/>
        </w:rPr>
      </w:pPr>
    </w:p>
    <w:p w:rsidR="00284A82" w:rsidRDefault="00284A82" w:rsidP="00284A82">
      <w:pPr>
        <w:pStyle w:val="a3"/>
        <w:spacing w:line="360" w:lineRule="auto"/>
        <w:ind w:left="425"/>
        <w:jc w:val="both"/>
        <w:rPr>
          <w:rFonts w:ascii="Arial" w:hAnsi="Arial"/>
          <w:noProof w:val="0"/>
        </w:rPr>
      </w:pPr>
      <w:r>
        <w:rPr>
          <w:rFonts w:ascii="Arial" w:hAnsi="Arial"/>
          <w:noProof w:val="0"/>
          <w:rtl/>
        </w:rPr>
        <w:t>כפי שפורט לעיל, אופן מכירת הדירה הוסדר במסגרת סעיף 4ד' לצוואה, ובכלל נסיבות העניין פרשנותו של התובע להוראות הצוואה לא רק שאינה עולה בקנה אחד עם הוראותיה, אלא אף עומדת בניגוד להן.</w:t>
      </w:r>
    </w:p>
    <w:p w:rsidR="00284A82" w:rsidRDefault="00284A82" w:rsidP="00284A82">
      <w:pPr>
        <w:pStyle w:val="a3"/>
        <w:rPr>
          <w:rFonts w:ascii="Arial" w:hAnsi="Arial"/>
          <w:noProof w:val="0"/>
          <w:rtl/>
        </w:rPr>
      </w:pPr>
    </w:p>
    <w:p w:rsidR="00284A82" w:rsidRDefault="00284A82" w:rsidP="00506EE3">
      <w:pPr>
        <w:pStyle w:val="a3"/>
        <w:numPr>
          <w:ilvl w:val="0"/>
          <w:numId w:val="1"/>
        </w:numPr>
        <w:spacing w:line="360" w:lineRule="auto"/>
        <w:ind w:left="425"/>
        <w:jc w:val="both"/>
        <w:rPr>
          <w:rFonts w:ascii="Arial" w:hAnsi="Arial"/>
          <w:noProof w:val="0"/>
        </w:rPr>
      </w:pPr>
      <w:r>
        <w:rPr>
          <w:rFonts w:ascii="Arial" w:hAnsi="Arial"/>
          <w:noProof w:val="0"/>
          <w:rtl/>
        </w:rPr>
        <w:lastRenderedPageBreak/>
        <w:t xml:space="preserve">לכך יש להוסיף כי התובע נמנע מלהעיד את עורך הצוואה, עו"ד </w:t>
      </w:r>
      <w:r w:rsidR="00506EE3">
        <w:rPr>
          <w:rFonts w:ascii="Arial" w:hAnsi="Arial" w:hint="cs"/>
          <w:noProof w:val="0"/>
        </w:rPr>
        <w:t>XXX</w:t>
      </w:r>
      <w:r>
        <w:rPr>
          <w:rFonts w:ascii="Arial" w:hAnsi="Arial"/>
          <w:noProof w:val="0"/>
          <w:rtl/>
        </w:rPr>
        <w:t xml:space="preserve">, שהינו אדם אובייקטיבי שיכול היה לשפוך אור על נסיבות עריכת הצוואה ועל הוראותיה, ולטעמי גם הימנעות זו פועלת לחובתו. </w:t>
      </w:r>
    </w:p>
    <w:p w:rsidR="00284A82" w:rsidRDefault="00284A82" w:rsidP="00284A82">
      <w:pPr>
        <w:pStyle w:val="a3"/>
        <w:rPr>
          <w:rFonts w:ascii="Arial" w:hAnsi="Arial"/>
          <w:noProof w:val="0"/>
          <w:rtl/>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בפסיקה נקבע שהימנעות בעל דין מהבאת ראיה תוצאתה שיש להחזיקו שאותה ראיה- לו הייתה מובאת- הייתה פועלת לרעתו, וכדברי כב' השופט א' גולדברג בע"א 465/88 </w:t>
      </w:r>
      <w:r>
        <w:rPr>
          <w:rFonts w:ascii="Arial" w:hAnsi="Arial"/>
          <w:b/>
          <w:bCs/>
          <w:noProof w:val="0"/>
          <w:rtl/>
        </w:rPr>
        <w:t xml:space="preserve">הבנק למימון ולסחר בע"מ נ' מתתיהו </w:t>
      </w:r>
      <w:r>
        <w:rPr>
          <w:rFonts w:ascii="Arial" w:hAnsi="Arial"/>
          <w:noProof w:val="0"/>
          <w:rtl/>
        </w:rPr>
        <w:t xml:space="preserve">, פ"ד מה(4) 651: </w:t>
      </w:r>
    </w:p>
    <w:p w:rsidR="00284A82" w:rsidRDefault="00284A82" w:rsidP="00284A82">
      <w:pPr>
        <w:pStyle w:val="a3"/>
        <w:rPr>
          <w:rFonts w:ascii="Arial" w:hAnsi="Arial"/>
          <w:noProof w:val="0"/>
          <w:rtl/>
        </w:rPr>
      </w:pPr>
    </w:p>
    <w:p w:rsidR="00284A82" w:rsidRDefault="00284A82" w:rsidP="00284A82">
      <w:pPr>
        <w:pStyle w:val="a3"/>
        <w:spacing w:line="360" w:lineRule="auto"/>
        <w:ind w:left="1984" w:right="1418" w:hanging="1559"/>
        <w:jc w:val="both"/>
        <w:rPr>
          <w:rFonts w:ascii="Arial" w:hAnsi="Arial"/>
          <w:b/>
          <w:bCs/>
          <w:noProof w:val="0"/>
        </w:rPr>
      </w:pPr>
      <w:r>
        <w:rPr>
          <w:rFonts w:ascii="Arial" w:hAnsi="Arial"/>
          <w:b/>
          <w:bCs/>
          <w:noProof w:val="0"/>
          <w:rtl/>
        </w:rPr>
        <w:t xml:space="preserve">                          " </w:t>
      </w:r>
      <w:r>
        <w:rPr>
          <w:rFonts w:ascii="Arial" w:hAnsi="Arial"/>
          <w:b/>
          <w:bCs/>
          <w:i/>
          <w:iCs/>
          <w:noProof w:val="0"/>
          <w:rtl/>
        </w:rPr>
        <w:t>אי הבאתו של עד רלוונטי מעוררת, מדרך הטבע, את החשד שיש דברים בגו וכי בעל הדין שנמנע מהבאתו, חושש מעדותו ומחשיפתו לחקירה שכנגד</w:t>
      </w:r>
      <w:r>
        <w:rPr>
          <w:rFonts w:ascii="Arial" w:hAnsi="Arial"/>
          <w:b/>
          <w:bCs/>
          <w:noProof w:val="0"/>
          <w:rtl/>
        </w:rPr>
        <w:t>".</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spacing w:line="360" w:lineRule="auto"/>
        <w:ind w:left="425"/>
        <w:jc w:val="both"/>
        <w:rPr>
          <w:rFonts w:ascii="Arial" w:hAnsi="Arial"/>
          <w:noProof w:val="0"/>
          <w:rtl/>
        </w:rPr>
      </w:pPr>
      <w:r>
        <w:rPr>
          <w:rFonts w:ascii="Arial" w:hAnsi="Arial"/>
          <w:noProof w:val="0"/>
          <w:rtl/>
        </w:rPr>
        <w:t xml:space="preserve">(ראו לעניין זה גם: ע"א 55/89 קופל בע"מ נ' </w:t>
      </w:r>
      <w:proofErr w:type="spellStart"/>
      <w:r>
        <w:rPr>
          <w:rFonts w:ascii="Arial" w:hAnsi="Arial"/>
          <w:noProof w:val="0"/>
          <w:rtl/>
        </w:rPr>
        <w:t>טלקאר</w:t>
      </w:r>
      <w:proofErr w:type="spellEnd"/>
      <w:r>
        <w:rPr>
          <w:rFonts w:ascii="Arial" w:hAnsi="Arial"/>
          <w:noProof w:val="0"/>
          <w:rtl/>
        </w:rPr>
        <w:t xml:space="preserve"> חברה בע"מ, פ"ד מד(4) 595, 602).</w:t>
      </w:r>
    </w:p>
    <w:p w:rsidR="00284A82" w:rsidRDefault="00284A82" w:rsidP="00284A82">
      <w:pPr>
        <w:pStyle w:val="a3"/>
        <w:rPr>
          <w:rFonts w:ascii="Arial" w:hAnsi="Arial"/>
          <w:noProof w:val="0"/>
          <w:rtl/>
        </w:rPr>
      </w:pPr>
    </w:p>
    <w:p w:rsidR="00284A82" w:rsidRDefault="00284A82" w:rsidP="00506EE3">
      <w:pPr>
        <w:pStyle w:val="a3"/>
        <w:spacing w:line="360" w:lineRule="auto"/>
        <w:ind w:left="425"/>
        <w:jc w:val="both"/>
        <w:rPr>
          <w:rFonts w:ascii="Arial" w:hAnsi="Arial"/>
          <w:b/>
          <w:bCs/>
          <w:noProof w:val="0"/>
          <w:rtl/>
        </w:rPr>
      </w:pPr>
      <w:r>
        <w:rPr>
          <w:rFonts w:ascii="Arial" w:hAnsi="Arial"/>
          <w:b/>
          <w:bCs/>
          <w:noProof w:val="0"/>
          <w:rtl/>
        </w:rPr>
        <w:t xml:space="preserve">מן הראוי היה שהתובע יבקש להעיד את עורך הצוואה עו"ד </w:t>
      </w:r>
      <w:r w:rsidR="00506EE3">
        <w:rPr>
          <w:rFonts w:ascii="Arial" w:hAnsi="Arial" w:hint="cs"/>
          <w:b/>
          <w:bCs/>
          <w:noProof w:val="0"/>
        </w:rPr>
        <w:t>XXX</w:t>
      </w:r>
      <w:r>
        <w:rPr>
          <w:rFonts w:ascii="Arial" w:hAnsi="Arial"/>
          <w:b/>
          <w:bCs/>
          <w:noProof w:val="0"/>
          <w:rtl/>
        </w:rPr>
        <w:t xml:space="preserve">. הימנעות זו מצד התובע אומרת </w:t>
      </w:r>
      <w:proofErr w:type="spellStart"/>
      <w:r>
        <w:rPr>
          <w:rFonts w:ascii="Arial" w:hAnsi="Arial"/>
          <w:b/>
          <w:bCs/>
          <w:noProof w:val="0"/>
          <w:rtl/>
        </w:rPr>
        <w:t>דרשיני</w:t>
      </w:r>
      <w:proofErr w:type="spellEnd"/>
      <w:r>
        <w:rPr>
          <w:rFonts w:ascii="Arial" w:hAnsi="Arial"/>
          <w:b/>
          <w:bCs/>
          <w:noProof w:val="0"/>
          <w:rtl/>
        </w:rPr>
        <w:t xml:space="preserve"> והיא פועלת כאמור לחובתו.</w:t>
      </w:r>
    </w:p>
    <w:p w:rsidR="00284A82" w:rsidRDefault="00284A82" w:rsidP="00284A82">
      <w:pPr>
        <w:pStyle w:val="a3"/>
        <w:spacing w:line="360" w:lineRule="auto"/>
        <w:ind w:left="425"/>
        <w:jc w:val="both"/>
        <w:rPr>
          <w:rFonts w:ascii="Arial" w:hAnsi="Arial"/>
          <w:b/>
          <w:bCs/>
          <w:noProof w:val="0"/>
        </w:rPr>
      </w:pPr>
    </w:p>
    <w:p w:rsidR="00284A82" w:rsidRDefault="00284A82" w:rsidP="00284A82">
      <w:pPr>
        <w:pStyle w:val="a3"/>
        <w:numPr>
          <w:ilvl w:val="0"/>
          <w:numId w:val="1"/>
        </w:numPr>
        <w:spacing w:line="360" w:lineRule="auto"/>
        <w:ind w:left="425"/>
        <w:jc w:val="both"/>
        <w:rPr>
          <w:rFonts w:ascii="Arial" w:hAnsi="Arial"/>
          <w:noProof w:val="0"/>
          <w:rtl/>
        </w:rPr>
      </w:pPr>
      <w:r>
        <w:rPr>
          <w:rFonts w:ascii="Arial" w:hAnsi="Arial"/>
          <w:noProof w:val="0"/>
          <w:rtl/>
        </w:rPr>
        <w:t xml:space="preserve">מעבר לעובדה שהתובע לא עמד בנטל המוטל עליו, אזי גם עדותו של התובע הייתה בלתי אמינה מתריסה ומתחמקת. התובע התחמק פעם אחר פעם </w:t>
      </w:r>
      <w:proofErr w:type="spellStart"/>
      <w:r>
        <w:rPr>
          <w:rFonts w:ascii="Arial" w:hAnsi="Arial"/>
          <w:noProof w:val="0"/>
          <w:rtl/>
        </w:rPr>
        <w:t>מליתן</w:t>
      </w:r>
      <w:proofErr w:type="spellEnd"/>
      <w:r>
        <w:rPr>
          <w:rFonts w:ascii="Arial" w:hAnsi="Arial"/>
          <w:noProof w:val="0"/>
          <w:rtl/>
        </w:rPr>
        <w:t xml:space="preserve"> תשובות ממוקדות לשאלות שהופנו אליו בחקירתו הנגדית ע"י בא </w:t>
      </w:r>
      <w:proofErr w:type="spellStart"/>
      <w:r>
        <w:rPr>
          <w:rFonts w:ascii="Arial" w:hAnsi="Arial"/>
          <w:noProof w:val="0"/>
          <w:rtl/>
        </w:rPr>
        <w:t>כח</w:t>
      </w:r>
      <w:proofErr w:type="spellEnd"/>
      <w:r>
        <w:rPr>
          <w:rFonts w:ascii="Arial" w:hAnsi="Arial"/>
          <w:noProof w:val="0"/>
          <w:rtl/>
        </w:rPr>
        <w:t xml:space="preserve"> הנתבעים, השיב תשובות מתריסות ולעומתיות, והרבה להתעמת עם בא </w:t>
      </w:r>
      <w:proofErr w:type="spellStart"/>
      <w:r>
        <w:rPr>
          <w:rFonts w:ascii="Arial" w:hAnsi="Arial"/>
          <w:noProof w:val="0"/>
          <w:rtl/>
        </w:rPr>
        <w:t>כח</w:t>
      </w:r>
      <w:proofErr w:type="spellEnd"/>
      <w:r>
        <w:rPr>
          <w:rFonts w:ascii="Arial" w:hAnsi="Arial"/>
          <w:noProof w:val="0"/>
          <w:rtl/>
        </w:rPr>
        <w:t xml:space="preserve"> הנתבעים. גם ניסיוני להעיר לתובע על כך בעיצומה של החקירה לא הועיל, עת התובע פנה לבית המשפט כהאי לישנא: </w:t>
      </w:r>
      <w:r w:rsidR="00506EE3">
        <w:rPr>
          <w:rFonts w:ascii="Arial" w:hAnsi="Arial"/>
          <w:noProof w:val="0"/>
          <w:rtl/>
        </w:rPr>
        <w:t>"אתה יכול להעיר כמה שאתה רוצה."</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spacing w:line="360" w:lineRule="auto"/>
        <w:ind w:left="425"/>
        <w:jc w:val="both"/>
        <w:rPr>
          <w:rFonts w:ascii="Arial" w:hAnsi="Arial"/>
          <w:noProof w:val="0"/>
        </w:rPr>
      </w:pPr>
      <w:r>
        <w:rPr>
          <w:rFonts w:ascii="Arial" w:hAnsi="Arial"/>
          <w:noProof w:val="0"/>
          <w:rtl/>
        </w:rPr>
        <w:t xml:space="preserve">גרסתם של הנתבעים הייתה מהימנה ולא עלה בידי התובע לסתור את טענותיהם ולפריך את גרסתם- ההפך הוא הנכון. בנסיבות אלה מצאתי להעדיף את גרסתם של הנתבעים על פני גרסת התובע, ולא מצאתי </w:t>
      </w:r>
      <w:proofErr w:type="spellStart"/>
      <w:r>
        <w:rPr>
          <w:rFonts w:ascii="Arial" w:hAnsi="Arial"/>
          <w:noProof w:val="0"/>
          <w:rtl/>
        </w:rPr>
        <w:t>ליתן</w:t>
      </w:r>
      <w:proofErr w:type="spellEnd"/>
      <w:r>
        <w:rPr>
          <w:rFonts w:ascii="Arial" w:hAnsi="Arial"/>
          <w:noProof w:val="0"/>
          <w:rtl/>
        </w:rPr>
        <w:t xml:space="preserve"> אמון בגרסתו ובטענותיו של התובע בהקשר זה, ואני דוחה את פרשנותו של התובע להוראות הצוואה.</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noProof w:val="0"/>
          <w:rtl/>
        </w:rPr>
        <w:t>מכל הנ"ל עולה כי אין כל בסיס שבדין לעתירת התובע לחייב את הנתבעים לחתום על מסמכים לצורך מכירת הדירה ורכישת דירה אחרת תחתיה, ואני דוחה טענה זו. משטענה זו נדחתה, אין גם מקום לעתירה החלופית להסמכת התובע לחתום, במקום הנתבעים, על המסמכים הנדרשים לביצוע הנ"ל, וגם עתירה זו נדחית.</w:t>
      </w:r>
    </w:p>
    <w:p w:rsidR="00284A82" w:rsidRDefault="00284A82" w:rsidP="00284A82">
      <w:pPr>
        <w:pStyle w:val="a3"/>
        <w:spacing w:line="360" w:lineRule="auto"/>
        <w:ind w:left="425"/>
        <w:jc w:val="both"/>
        <w:rPr>
          <w:rFonts w:ascii="Arial" w:hAnsi="Arial"/>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b/>
          <w:bCs/>
          <w:noProof w:val="0"/>
          <w:rtl/>
        </w:rPr>
        <w:lastRenderedPageBreak/>
        <w:t xml:space="preserve">אשר על כן, ולאור כל שפורט לעיל, התביעה לצו עשה שהגיש התובע כנגד הנתבעים נדחית בזאת על כל חלקיה. </w:t>
      </w:r>
    </w:p>
    <w:p w:rsidR="00284A82" w:rsidRDefault="00284A82" w:rsidP="00284A82">
      <w:pPr>
        <w:spacing w:line="360" w:lineRule="auto"/>
        <w:ind w:left="65"/>
        <w:jc w:val="both"/>
        <w:rPr>
          <w:rFonts w:ascii="Arial" w:hAnsi="Arial"/>
          <w:b/>
          <w:bCs/>
          <w:noProof w:val="0"/>
          <w:sz w:val="26"/>
          <w:szCs w:val="26"/>
          <w:u w:val="single"/>
        </w:rPr>
      </w:pPr>
    </w:p>
    <w:p w:rsidR="00284A82" w:rsidRDefault="00284A82" w:rsidP="00284A82">
      <w:pPr>
        <w:spacing w:line="360" w:lineRule="auto"/>
        <w:ind w:left="65"/>
        <w:jc w:val="both"/>
        <w:rPr>
          <w:rFonts w:ascii="Arial" w:hAnsi="Arial"/>
          <w:noProof w:val="0"/>
        </w:rPr>
      </w:pPr>
      <w:r>
        <w:rPr>
          <w:rFonts w:ascii="Arial" w:hAnsi="Arial"/>
          <w:b/>
          <w:bCs/>
          <w:noProof w:val="0"/>
          <w:sz w:val="26"/>
          <w:szCs w:val="26"/>
          <w:u w:val="single"/>
          <w:rtl/>
        </w:rPr>
        <w:t>סוף דבר</w:t>
      </w:r>
    </w:p>
    <w:p w:rsidR="00284A82" w:rsidRDefault="00284A82" w:rsidP="00284A82">
      <w:pPr>
        <w:pStyle w:val="a3"/>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b/>
          <w:bCs/>
          <w:noProof w:val="0"/>
          <w:rtl/>
        </w:rPr>
        <w:t xml:space="preserve">התביעה הכספית שהגיש התובע כנגד הנתבעים במסגרת </w:t>
      </w:r>
      <w:proofErr w:type="spellStart"/>
      <w:r>
        <w:rPr>
          <w:rFonts w:ascii="Arial" w:hAnsi="Arial"/>
          <w:b/>
          <w:bCs/>
          <w:noProof w:val="0"/>
          <w:rtl/>
        </w:rPr>
        <w:t>תמ"ש</w:t>
      </w:r>
      <w:proofErr w:type="spellEnd"/>
      <w:r>
        <w:rPr>
          <w:rFonts w:ascii="Arial" w:hAnsi="Arial"/>
          <w:b/>
          <w:bCs/>
          <w:noProof w:val="0"/>
          <w:rtl/>
        </w:rPr>
        <w:t xml:space="preserve"> 31863-11-20 נדחית בזאת. </w:t>
      </w:r>
    </w:p>
    <w:p w:rsidR="00284A82" w:rsidRDefault="00284A82" w:rsidP="00284A82">
      <w:pPr>
        <w:pStyle w:val="a3"/>
        <w:spacing w:line="360" w:lineRule="auto"/>
        <w:ind w:left="425"/>
        <w:jc w:val="both"/>
        <w:rPr>
          <w:rFonts w:ascii="Arial" w:hAnsi="Arial"/>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b/>
          <w:bCs/>
          <w:noProof w:val="0"/>
          <w:rtl/>
        </w:rPr>
        <w:t xml:space="preserve">התביעה לצו עשה שהגיש התובע כנגד הנתבעים במסגרת </w:t>
      </w:r>
      <w:proofErr w:type="spellStart"/>
      <w:r>
        <w:rPr>
          <w:rFonts w:ascii="Arial" w:hAnsi="Arial"/>
          <w:b/>
          <w:bCs/>
          <w:noProof w:val="0"/>
          <w:rtl/>
        </w:rPr>
        <w:t>תמ"ש</w:t>
      </w:r>
      <w:proofErr w:type="spellEnd"/>
      <w:r>
        <w:rPr>
          <w:rFonts w:ascii="Arial" w:hAnsi="Arial"/>
          <w:b/>
          <w:bCs/>
          <w:noProof w:val="0"/>
          <w:rtl/>
        </w:rPr>
        <w:t xml:space="preserve"> 31905-11-20 נדחית בזאת. </w:t>
      </w:r>
    </w:p>
    <w:p w:rsidR="00284A82" w:rsidRDefault="00284A82" w:rsidP="00284A82">
      <w:pPr>
        <w:pStyle w:val="a3"/>
        <w:rPr>
          <w:rFonts w:ascii="Arial" w:hAnsi="Arial"/>
          <w:b/>
          <w:bCs/>
          <w:noProof w:val="0"/>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b/>
          <w:bCs/>
          <w:noProof w:val="0"/>
          <w:rtl/>
        </w:rPr>
        <w:t>נוכח התוצאה אליה הגעתי, ובשים לב להיקף ההליכים שהתנהלו בשתי התובעות הנ"ל, וכן להתנהלותו של התובע בהליכים שהתקיימו בפני לרבות במהלך עדותו כעולה מפרוטוקול הדיון, מצאתי לחייב את התובע בהוצאות הנתבעים בגין שני ההליכים שבפני בסך של 40,000 ₪ אשר ישולמו תוך 30 יום, שאם לא כן, יישאו הפרשי הצמדה וריבית חוק.</w:t>
      </w:r>
    </w:p>
    <w:p w:rsidR="00284A82" w:rsidRDefault="00284A82" w:rsidP="00284A82">
      <w:pPr>
        <w:pStyle w:val="a3"/>
        <w:rPr>
          <w:rFonts w:ascii="Arial" w:hAnsi="Arial"/>
          <w:b/>
          <w:bCs/>
          <w:noProof w:val="0"/>
          <w:rtl/>
        </w:rPr>
      </w:pPr>
    </w:p>
    <w:p w:rsidR="00284A82" w:rsidRDefault="00284A82" w:rsidP="00284A82">
      <w:pPr>
        <w:pStyle w:val="a3"/>
        <w:numPr>
          <w:ilvl w:val="0"/>
          <w:numId w:val="1"/>
        </w:numPr>
        <w:spacing w:line="360" w:lineRule="auto"/>
        <w:ind w:left="425"/>
        <w:jc w:val="both"/>
        <w:rPr>
          <w:rFonts w:ascii="Arial" w:hAnsi="Arial"/>
          <w:noProof w:val="0"/>
        </w:rPr>
      </w:pPr>
      <w:r>
        <w:rPr>
          <w:rFonts w:ascii="Arial" w:hAnsi="Arial"/>
          <w:b/>
          <w:bCs/>
          <w:noProof w:val="0"/>
          <w:rtl/>
        </w:rPr>
        <w:t>המזכירות תמציא העתק פסק הדין לצדדים ותסגור שני התיקים שבכותרת.</w:t>
      </w:r>
    </w:p>
    <w:p w:rsidR="00284A82" w:rsidRDefault="00284A82" w:rsidP="00284A82">
      <w:pPr>
        <w:pStyle w:val="a3"/>
        <w:spacing w:line="360" w:lineRule="auto"/>
        <w:rPr>
          <w:rFonts w:ascii="Arial" w:hAnsi="Arial"/>
          <w:b/>
          <w:bCs/>
          <w:noProof w:val="0"/>
          <w:rtl/>
        </w:rPr>
      </w:pPr>
      <w:r>
        <w:rPr>
          <w:rFonts w:ascii="Arial" w:hAnsi="Arial"/>
          <w:b/>
          <w:bCs/>
          <w:noProof w:val="0"/>
          <w:rtl/>
        </w:rPr>
        <w:tab/>
      </w:r>
    </w:p>
    <w:p w:rsidR="00284A82" w:rsidRDefault="00284A82" w:rsidP="00284A82">
      <w:pPr>
        <w:pStyle w:val="a3"/>
        <w:spacing w:line="360" w:lineRule="auto"/>
        <w:ind w:left="0"/>
        <w:jc w:val="both"/>
        <w:rPr>
          <w:rFonts w:ascii="Arial" w:hAnsi="Arial"/>
          <w:b/>
          <w:bCs/>
          <w:noProof w:val="0"/>
          <w:rtl/>
        </w:rPr>
      </w:pPr>
      <w:r>
        <w:rPr>
          <w:rFonts w:ascii="Arial" w:hAnsi="Arial"/>
          <w:b/>
          <w:bCs/>
          <w:noProof w:val="0"/>
          <w:rtl/>
        </w:rPr>
        <w:t>פסק הדין מותר לפרסום בהשמטת פרטים מזהים ובכפוף לשינויי עריכה.</w:t>
      </w:r>
    </w:p>
    <w:p w:rsidR="00284A82" w:rsidRDefault="00284A82" w:rsidP="00284A82">
      <w:pPr>
        <w:spacing w:line="360" w:lineRule="auto"/>
        <w:jc w:val="both"/>
        <w:rPr>
          <w:rFonts w:ascii="Arial" w:hAnsi="Arial"/>
          <w:noProof w:val="0"/>
          <w:rtl/>
        </w:rPr>
      </w:pPr>
    </w:p>
    <w:p w:rsidR="00284A82" w:rsidRDefault="00284A82" w:rsidP="00284A82">
      <w:pPr>
        <w:spacing w:line="360" w:lineRule="auto"/>
        <w:jc w:val="both"/>
        <w:rPr>
          <w:rFonts w:ascii="Arial" w:hAnsi="Arial"/>
          <w:noProof w:val="0"/>
          <w:rtl/>
        </w:rPr>
      </w:pPr>
    </w:p>
    <w:p w:rsidR="00284A82" w:rsidRDefault="00284A82" w:rsidP="00284A8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ד'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אוגוסט 2023</w:t>
          </w:r>
        </w:sdtContent>
      </w:sdt>
      <w:r>
        <w:rPr>
          <w:rFonts w:ascii="Arial" w:hAnsi="Arial"/>
          <w:noProof w:val="0"/>
          <w:rtl/>
        </w:rPr>
        <w:t>, בהעדר הצדדים.</w:t>
      </w:r>
    </w:p>
    <w:p w:rsidR="00284A82" w:rsidRDefault="00284A82" w:rsidP="00284A82">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F4624914863F432CA5CF80134E396B94"/>
          </w:placeholder>
          <w:showingPlcHdr/>
          <w:text w:multiLine="1"/>
        </w:sdtPr>
        <w:sdtEndPr/>
        <w:sdtContent/>
      </w:sdt>
      <w:r>
        <w:rPr>
          <w:rFonts w:ascii="Arial" w:hAnsi="Arial"/>
          <w:noProof w:val="0"/>
          <w:rtl/>
        </w:rPr>
        <w:tab/>
      </w:r>
      <w:r>
        <w:rPr>
          <w:rFonts w:ascii="Arial" w:hAnsi="Arial"/>
          <w:noProof w:val="0"/>
          <w:rtl/>
        </w:rPr>
        <w:tab/>
        <w:t xml:space="preserve"> </w:t>
      </w:r>
    </w:p>
    <w:p w:rsidR="00284A82" w:rsidRDefault="00BB6741" w:rsidP="00284A82">
      <w:pPr>
        <w:spacing w:line="360" w:lineRule="auto"/>
        <w:ind w:left="3600" w:firstLine="720"/>
        <w:rPr>
          <w:rtl/>
        </w:rPr>
      </w:pPr>
      <w:sdt>
        <w:sdtPr>
          <w:rPr>
            <w:rtl/>
          </w:rPr>
          <w:alias w:val="MergeField"/>
          <w:tag w:val="1237"/>
          <w:id w:val="119269855"/>
        </w:sdtPr>
        <w:sdtEndPr/>
        <w:sdtContent>
          <w:r w:rsidR="00284A82">
            <w:drawing>
              <wp:inline distT="0" distB="0" distL="0" distR="0">
                <wp:extent cx="922655" cy="8191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2655" cy="819150"/>
                        </a:xfrm>
                        <a:prstGeom prst="rect">
                          <a:avLst/>
                        </a:prstGeom>
                        <a:noFill/>
                        <a:ln>
                          <a:noFill/>
                        </a:ln>
                      </pic:spPr>
                    </pic:pic>
                  </a:graphicData>
                </a:graphic>
              </wp:inline>
            </w:drawing>
          </w:r>
        </w:sdtContent>
      </w:sdt>
    </w:p>
    <w:p w:rsidR="00284A82" w:rsidRDefault="00284A82" w:rsidP="00284A82">
      <w:pPr>
        <w:spacing w:line="360" w:lineRule="auto"/>
        <w:ind w:left="3600" w:firstLine="720"/>
        <w:rPr>
          <w:rFonts w:ascii="Arial" w:hAnsi="Arial"/>
          <w:noProof w:val="0"/>
        </w:rPr>
      </w:pPr>
    </w:p>
    <w:p w:rsidR="00284A82" w:rsidRDefault="00284A82" w:rsidP="00284A82">
      <w:pPr>
        <w:spacing w:line="360" w:lineRule="auto"/>
        <w:jc w:val="both"/>
        <w:rPr>
          <w:rFonts w:ascii="Arial" w:hAnsi="Arial"/>
          <w:noProof w:val="0"/>
          <w:rtl/>
        </w:rPr>
      </w:pPr>
    </w:p>
    <w:p w:rsidR="00284A82" w:rsidRDefault="00284A82" w:rsidP="00284A82">
      <w:pPr>
        <w:spacing w:line="360" w:lineRule="auto"/>
        <w:jc w:val="both"/>
        <w:rPr>
          <w:rFonts w:ascii="Arial" w:hAnsi="Arial"/>
          <w:noProof w:val="0"/>
          <w:rtl/>
        </w:rPr>
      </w:pPr>
    </w:p>
    <w:p w:rsidR="00C72FAE" w:rsidRDefault="00C72FAE"/>
    <w:sectPr w:rsidR="00C72FAE" w:rsidSect="00D551B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A82" w:rsidRDefault="00284A82" w:rsidP="00284A82">
      <w:r>
        <w:separator/>
      </w:r>
    </w:p>
  </w:endnote>
  <w:endnote w:type="continuationSeparator" w:id="0">
    <w:p w:rsidR="00284A82" w:rsidRDefault="00284A82" w:rsidP="0028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741" w:rsidRDefault="00BB674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741" w:rsidRDefault="00BB674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741" w:rsidRDefault="00BB674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A82" w:rsidRDefault="00284A82" w:rsidP="00284A82">
      <w:r>
        <w:separator/>
      </w:r>
    </w:p>
  </w:footnote>
  <w:footnote w:type="continuationSeparator" w:id="0">
    <w:p w:rsidR="00284A82" w:rsidRDefault="00284A82" w:rsidP="00284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741" w:rsidRDefault="00BB6741">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A82" w:rsidRDefault="00284A82">
    <w:pPr>
      <w:rPr>
        <w:rtl/>
      </w:rPr>
    </w:pPr>
    <w:r>
      <w:drawing>
        <wp:anchor distT="0" distB="0" distL="114300" distR="114300" simplePos="0" relativeHeight="251658240" behindDoc="1" locked="0" layoutInCell="1" allowOverlap="1">
          <wp:simplePos x="0" y="0"/>
          <wp:positionH relativeFrom="margin">
            <wp:align>center</wp:align>
          </wp:positionH>
          <wp:positionV relativeFrom="paragraph">
            <wp:posOffset>-68387</wp:posOffset>
          </wp:positionV>
          <wp:extent cx="371475" cy="466725"/>
          <wp:effectExtent l="0" t="0" r="9525" b="9525"/>
          <wp:wrapTight wrapText="bothSides">
            <wp:wrapPolygon edited="0">
              <wp:start x="0" y="0"/>
              <wp:lineTo x="0" y="16751"/>
              <wp:lineTo x="3323" y="20278"/>
              <wp:lineTo x="6646" y="21159"/>
              <wp:lineTo x="14400" y="21159"/>
              <wp:lineTo x="17723" y="20278"/>
              <wp:lineTo x="21046" y="17633"/>
              <wp:lineTo x="21046" y="0"/>
              <wp:lineTo x="0" y="0"/>
            </wp:wrapPolygon>
          </wp:wrapTight>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4A82" w:rsidRDefault="00284A82">
    <w:pPr>
      <w:rPr>
        <w:rtl/>
      </w:rPr>
    </w:pPr>
  </w:p>
  <w:p w:rsidR="00284A82" w:rsidRDefault="00284A82"/>
  <w:tbl>
    <w:tblPr>
      <w:bidiVisual/>
      <w:tblW w:w="0" w:type="auto"/>
      <w:jc w:val="center"/>
      <w:tblLook w:val="04A0" w:firstRow="1" w:lastRow="0" w:firstColumn="1" w:lastColumn="0" w:noHBand="0" w:noVBand="1"/>
    </w:tblPr>
    <w:tblGrid>
      <w:gridCol w:w="4820"/>
      <w:gridCol w:w="3486"/>
    </w:tblGrid>
    <w:tr w:rsidR="00284A82" w:rsidTr="00284A82">
      <w:trPr>
        <w:trHeight w:val="670"/>
        <w:jc w:val="center"/>
      </w:trPr>
      <w:tc>
        <w:tcPr>
          <w:tcW w:w="8306" w:type="dxa"/>
          <w:gridSpan w:val="2"/>
          <w:hideMark/>
        </w:tcPr>
        <w:p w:rsidR="00284A82" w:rsidRDefault="00284A82">
          <w:pPr>
            <w:pStyle w:val="a5"/>
            <w:jc w:val="center"/>
          </w:pPr>
          <w:r>
            <w:rPr>
              <w:rFonts w:ascii="Tahoma" w:hAnsi="Tahoma" w:cs="Tahoma"/>
              <w:b/>
              <w:bCs/>
              <w:noProof w:val="0"/>
              <w:color w:val="000080"/>
              <w:rtl/>
            </w:rPr>
            <w:t>בית משפט לענייני משפחה באשדוד</w:t>
          </w:r>
        </w:p>
      </w:tc>
    </w:tr>
    <w:tr w:rsidR="00284A82" w:rsidTr="00284A82">
      <w:trPr>
        <w:trHeight w:val="337"/>
        <w:jc w:val="center"/>
      </w:trPr>
      <w:tc>
        <w:tcPr>
          <w:tcW w:w="4820" w:type="dxa"/>
        </w:tcPr>
        <w:p w:rsidR="00284A82" w:rsidRDefault="00284A82" w:rsidP="00284A82">
          <w:pPr>
            <w:jc w:val="center"/>
            <w:rPr>
              <w:b/>
              <w:bCs/>
              <w:noProof w:val="0"/>
              <w:sz w:val="26"/>
              <w:szCs w:val="26"/>
              <w:rtl/>
            </w:rPr>
          </w:pPr>
        </w:p>
      </w:tc>
      <w:tc>
        <w:tcPr>
          <w:tcW w:w="3486" w:type="dxa"/>
        </w:tcPr>
        <w:p w:rsidR="00284A82" w:rsidRDefault="00284A82">
          <w:pPr>
            <w:pStyle w:val="a5"/>
            <w:jc w:val="right"/>
            <w:rPr>
              <w:b/>
              <w:bCs/>
              <w:noProof w:val="0"/>
              <w:sz w:val="26"/>
              <w:szCs w:val="26"/>
              <w:rtl/>
            </w:rPr>
          </w:pPr>
        </w:p>
      </w:tc>
    </w:tr>
    <w:tr w:rsidR="00284A82" w:rsidTr="00284A82">
      <w:trPr>
        <w:trHeight w:val="337"/>
        <w:jc w:val="center"/>
      </w:trPr>
      <w:tc>
        <w:tcPr>
          <w:tcW w:w="8306" w:type="dxa"/>
          <w:gridSpan w:val="2"/>
        </w:tcPr>
        <w:sdt>
          <w:sdtPr>
            <w:rPr>
              <w:b/>
              <w:bCs/>
              <w:noProof w:val="0"/>
              <w:sz w:val="26"/>
              <w:szCs w:val="26"/>
              <w:rtl/>
            </w:rPr>
            <w:alias w:val="1488"/>
            <w:tag w:val="1488"/>
            <w:id w:val="-154920068"/>
            <w:lock w:val="contentLocked"/>
            <w:group/>
          </w:sdtPr>
          <w:sdtEndPr/>
          <w:sdtContent>
            <w:p w:rsidR="00284A82" w:rsidRDefault="00BB6741" w:rsidP="005C2655">
              <w:pPr>
                <w:rPr>
                  <w:b/>
                  <w:bCs/>
                  <w:noProof w:val="0"/>
                  <w:sz w:val="26"/>
                  <w:szCs w:val="26"/>
                  <w:rtl/>
                </w:rPr>
              </w:pPr>
              <w:sdt>
                <w:sdtPr>
                  <w:rPr>
                    <w:b/>
                    <w:bCs/>
                    <w:noProof w:val="0"/>
                    <w:sz w:val="26"/>
                    <w:szCs w:val="26"/>
                    <w:rtl/>
                  </w:rPr>
                  <w:alias w:val="1170"/>
                  <w:tag w:val="1170"/>
                  <w:id w:val="299038016"/>
                  <w:text w:multiLine="1"/>
                </w:sdtPr>
                <w:sdtEndPr/>
                <w:sdtContent>
                  <w:proofErr w:type="spellStart"/>
                  <w:r w:rsidR="00284A82">
                    <w:rPr>
                      <w:b/>
                      <w:bCs/>
                      <w:noProof w:val="0"/>
                      <w:sz w:val="26"/>
                      <w:szCs w:val="26"/>
                      <w:rtl/>
                    </w:rPr>
                    <w:t>תמ"ש</w:t>
                  </w:r>
                  <w:proofErr w:type="spellEnd"/>
                </w:sdtContent>
              </w:sdt>
              <w:r w:rsidR="00284A82">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284A82">
                    <w:rPr>
                      <w:b/>
                      <w:bCs/>
                      <w:noProof w:val="0"/>
                      <w:sz w:val="26"/>
                      <w:szCs w:val="26"/>
                      <w:rtl/>
                    </w:rPr>
                    <w:t>31905-11-20</w:t>
                  </w:r>
                </w:sdtContent>
              </w:sdt>
              <w:bookmarkEnd w:id="0"/>
              <w:r w:rsidR="00284A82">
                <w:rPr>
                  <w:b/>
                  <w:bCs/>
                  <w:noProof w:val="0"/>
                  <w:sz w:val="26"/>
                  <w:szCs w:val="26"/>
                  <w:rtl/>
                </w:rPr>
                <w:t xml:space="preserve"> </w:t>
              </w:r>
              <w:sdt>
                <w:sdtPr>
                  <w:rPr>
                    <w:b/>
                    <w:bCs/>
                    <w:noProof w:val="0"/>
                    <w:sz w:val="26"/>
                    <w:szCs w:val="26"/>
                    <w:rtl/>
                  </w:rPr>
                  <w:alias w:val="1172"/>
                  <w:tag w:val="1172"/>
                  <w:id w:val="-1742169342"/>
                  <w:text w:multiLine="1"/>
                </w:sdtPr>
                <w:sdtEndPr/>
                <w:sdtContent>
                  <w:r w:rsidR="00284A82">
                    <w:rPr>
                      <w:b/>
                      <w:bCs/>
                      <w:noProof w:val="0"/>
                      <w:sz w:val="26"/>
                      <w:szCs w:val="26"/>
                      <w:rtl/>
                    </w:rPr>
                    <w:t>ל</w:t>
                  </w:r>
                  <w:r w:rsidR="005C2655">
                    <w:rPr>
                      <w:rFonts w:hint="cs"/>
                      <w:b/>
                      <w:bCs/>
                      <w:noProof w:val="0"/>
                      <w:sz w:val="26"/>
                      <w:szCs w:val="26"/>
                      <w:rtl/>
                    </w:rPr>
                    <w:t>'</w:t>
                  </w:r>
                  <w:r w:rsidR="00284A82">
                    <w:rPr>
                      <w:b/>
                      <w:bCs/>
                      <w:noProof w:val="0"/>
                      <w:sz w:val="26"/>
                      <w:szCs w:val="26"/>
                      <w:rtl/>
                    </w:rPr>
                    <w:t xml:space="preserve"> נ' ז</w:t>
                  </w:r>
                  <w:r w:rsidR="005C2655">
                    <w:rPr>
                      <w:rFonts w:hint="cs"/>
                      <w:b/>
                      <w:bCs/>
                      <w:noProof w:val="0"/>
                      <w:sz w:val="26"/>
                      <w:szCs w:val="26"/>
                      <w:rtl/>
                    </w:rPr>
                    <w:t>'</w:t>
                  </w:r>
                  <w:r w:rsidR="00284A82">
                    <w:rPr>
                      <w:b/>
                      <w:bCs/>
                      <w:noProof w:val="0"/>
                      <w:sz w:val="26"/>
                      <w:szCs w:val="26"/>
                      <w:rtl/>
                    </w:rPr>
                    <w:t xml:space="preserve"> ואח'</w:t>
                  </w:r>
                </w:sdtContent>
              </w:sdt>
            </w:p>
            <w:p w:rsidR="00284A82" w:rsidRDefault="00BB6741">
              <w:pPr>
                <w:rPr>
                  <w:b/>
                  <w:bCs/>
                  <w:noProof w:val="0"/>
                  <w:sz w:val="2"/>
                  <w:szCs w:val="2"/>
                  <w:rtl/>
                </w:rPr>
              </w:pPr>
            </w:p>
          </w:sdtContent>
        </w:sdt>
        <w:p w:rsidR="00284A82" w:rsidRDefault="00284A82">
          <w:pPr>
            <w:rPr>
              <w:b/>
              <w:bCs/>
              <w:noProof w:val="0"/>
              <w:sz w:val="26"/>
              <w:szCs w:val="26"/>
              <w:rtl/>
            </w:rPr>
          </w:pPr>
          <w:r>
            <w:rPr>
              <w:b/>
              <w:bCs/>
              <w:noProof w:val="0"/>
              <w:sz w:val="26"/>
              <w:szCs w:val="26"/>
              <w:rtl/>
            </w:rPr>
            <w:t xml:space="preserve"> </w:t>
          </w:r>
        </w:p>
        <w:p w:rsidR="00284A82" w:rsidRDefault="00284A82">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284A82" w:rsidRDefault="00284A8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741" w:rsidRDefault="00BB674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256D"/>
    <w:multiLevelType w:val="multilevel"/>
    <w:tmpl w:val="3FAC1646"/>
    <w:lvl w:ilvl="0">
      <w:start w:val="1"/>
      <w:numFmt w:val="decimal"/>
      <w:lvlText w:val="%1."/>
      <w:lvlJc w:val="left"/>
      <w:pPr>
        <w:ind w:left="720" w:hanging="360"/>
      </w:pPr>
      <w:rPr>
        <w:b w:val="0"/>
        <w:bCs w:val="0"/>
      </w:rPr>
    </w:lvl>
    <w:lvl w:ilvl="1">
      <w:start w:val="1"/>
      <w:numFmt w:val="decimal"/>
      <w:isLgl/>
      <w:lvlText w:val="%1.%2"/>
      <w:lvlJc w:val="left"/>
      <w:pPr>
        <w:ind w:left="845" w:hanging="420"/>
      </w:pPr>
    </w:lvl>
    <w:lvl w:ilvl="2">
      <w:start w:val="1"/>
      <w:numFmt w:val="decimal"/>
      <w:isLgl/>
      <w:lvlText w:val="%1.%2.%3"/>
      <w:lvlJc w:val="left"/>
      <w:pPr>
        <w:ind w:left="1210" w:hanging="720"/>
      </w:pPr>
    </w:lvl>
    <w:lvl w:ilvl="3">
      <w:start w:val="1"/>
      <w:numFmt w:val="decimal"/>
      <w:isLgl/>
      <w:lvlText w:val="%1.%2.%3.%4"/>
      <w:lvlJc w:val="left"/>
      <w:pPr>
        <w:ind w:left="1275" w:hanging="720"/>
      </w:pPr>
    </w:lvl>
    <w:lvl w:ilvl="4">
      <w:start w:val="1"/>
      <w:numFmt w:val="decimal"/>
      <w:isLgl/>
      <w:lvlText w:val="%1.%2.%3.%4.%5"/>
      <w:lvlJc w:val="left"/>
      <w:pPr>
        <w:ind w:left="1700" w:hanging="1080"/>
      </w:pPr>
    </w:lvl>
    <w:lvl w:ilvl="5">
      <w:start w:val="1"/>
      <w:numFmt w:val="decimal"/>
      <w:isLgl/>
      <w:lvlText w:val="%1.%2.%3.%4.%5.%6"/>
      <w:lvlJc w:val="left"/>
      <w:pPr>
        <w:ind w:left="1765" w:hanging="1080"/>
      </w:pPr>
    </w:lvl>
    <w:lvl w:ilvl="6">
      <w:start w:val="1"/>
      <w:numFmt w:val="decimal"/>
      <w:isLgl/>
      <w:lvlText w:val="%1.%2.%3.%4.%5.%6.%7"/>
      <w:lvlJc w:val="left"/>
      <w:pPr>
        <w:ind w:left="1830" w:hanging="1080"/>
      </w:pPr>
    </w:lvl>
    <w:lvl w:ilvl="7">
      <w:start w:val="1"/>
      <w:numFmt w:val="decimal"/>
      <w:isLgl/>
      <w:lvlText w:val="%1.%2.%3.%4.%5.%6.%7.%8"/>
      <w:lvlJc w:val="left"/>
      <w:pPr>
        <w:ind w:left="2255" w:hanging="1440"/>
      </w:pPr>
    </w:lvl>
    <w:lvl w:ilvl="8">
      <w:start w:val="1"/>
      <w:numFmt w:val="decimal"/>
      <w:isLgl/>
      <w:lvlText w:val="%1.%2.%3.%4.%5.%6.%7.%8.%9"/>
      <w:lvlJc w:val="left"/>
      <w:pPr>
        <w:ind w:left="2320" w:hanging="1440"/>
      </w:pPr>
    </w:lvl>
  </w:abstractNum>
  <w:abstractNum w:abstractNumId="1" w15:restartNumberingAfterBreak="0">
    <w:nsid w:val="334A599E"/>
    <w:multiLevelType w:val="hybridMultilevel"/>
    <w:tmpl w:val="6C08F3CE"/>
    <w:lvl w:ilvl="0" w:tplc="5E02E492">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33D4165C"/>
    <w:multiLevelType w:val="hybridMultilevel"/>
    <w:tmpl w:val="3B4AE73C"/>
    <w:lvl w:ilvl="0" w:tplc="21365654">
      <w:start w:val="1"/>
      <w:numFmt w:val="hebrew1"/>
      <w:lvlText w:val="%1."/>
      <w:lvlJc w:val="left"/>
      <w:pPr>
        <w:ind w:left="425" w:hanging="360"/>
      </w:pPr>
    </w:lvl>
    <w:lvl w:ilvl="1" w:tplc="04090019">
      <w:start w:val="1"/>
      <w:numFmt w:val="lowerLetter"/>
      <w:lvlText w:val="%2."/>
      <w:lvlJc w:val="left"/>
      <w:pPr>
        <w:ind w:left="1145" w:hanging="360"/>
      </w:pPr>
    </w:lvl>
    <w:lvl w:ilvl="2" w:tplc="0409001B">
      <w:start w:val="1"/>
      <w:numFmt w:val="lowerRoman"/>
      <w:lvlText w:val="%3."/>
      <w:lvlJc w:val="right"/>
      <w:pPr>
        <w:ind w:left="1865" w:hanging="180"/>
      </w:pPr>
    </w:lvl>
    <w:lvl w:ilvl="3" w:tplc="0409000F">
      <w:start w:val="1"/>
      <w:numFmt w:val="decimal"/>
      <w:lvlText w:val="%4."/>
      <w:lvlJc w:val="left"/>
      <w:pPr>
        <w:ind w:left="2585" w:hanging="360"/>
      </w:pPr>
    </w:lvl>
    <w:lvl w:ilvl="4" w:tplc="04090019">
      <w:start w:val="1"/>
      <w:numFmt w:val="lowerLetter"/>
      <w:lvlText w:val="%5."/>
      <w:lvlJc w:val="left"/>
      <w:pPr>
        <w:ind w:left="3305" w:hanging="360"/>
      </w:pPr>
    </w:lvl>
    <w:lvl w:ilvl="5" w:tplc="0409001B">
      <w:start w:val="1"/>
      <w:numFmt w:val="lowerRoman"/>
      <w:lvlText w:val="%6."/>
      <w:lvlJc w:val="right"/>
      <w:pPr>
        <w:ind w:left="4025" w:hanging="180"/>
      </w:pPr>
    </w:lvl>
    <w:lvl w:ilvl="6" w:tplc="0409000F">
      <w:start w:val="1"/>
      <w:numFmt w:val="decimal"/>
      <w:lvlText w:val="%7."/>
      <w:lvlJc w:val="left"/>
      <w:pPr>
        <w:ind w:left="4745" w:hanging="360"/>
      </w:pPr>
    </w:lvl>
    <w:lvl w:ilvl="7" w:tplc="04090019">
      <w:start w:val="1"/>
      <w:numFmt w:val="lowerLetter"/>
      <w:lvlText w:val="%8."/>
      <w:lvlJc w:val="left"/>
      <w:pPr>
        <w:ind w:left="5465" w:hanging="360"/>
      </w:pPr>
    </w:lvl>
    <w:lvl w:ilvl="8" w:tplc="0409001B">
      <w:start w:val="1"/>
      <w:numFmt w:val="lowerRoman"/>
      <w:lvlText w:val="%9."/>
      <w:lvlJc w:val="right"/>
      <w:pPr>
        <w:ind w:left="6185" w:hanging="180"/>
      </w:pPr>
    </w:lvl>
  </w:abstractNum>
  <w:abstractNum w:abstractNumId="3" w15:restartNumberingAfterBreak="0">
    <w:nsid w:val="46BF48CF"/>
    <w:multiLevelType w:val="hybridMultilevel"/>
    <w:tmpl w:val="1598A744"/>
    <w:lvl w:ilvl="0" w:tplc="4C04BEE6">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4" w15:restartNumberingAfterBreak="0">
    <w:nsid w:val="6D7148E4"/>
    <w:multiLevelType w:val="hybridMultilevel"/>
    <w:tmpl w:val="07C42F02"/>
    <w:lvl w:ilvl="0" w:tplc="72AA6B76">
      <w:start w:val="1"/>
      <w:numFmt w:val="hebrew1"/>
      <w:lvlText w:val="%1."/>
      <w:lvlJc w:val="left"/>
      <w:pPr>
        <w:ind w:left="425" w:hanging="360"/>
      </w:pPr>
    </w:lvl>
    <w:lvl w:ilvl="1" w:tplc="04090019">
      <w:start w:val="1"/>
      <w:numFmt w:val="lowerLetter"/>
      <w:lvlText w:val="%2."/>
      <w:lvlJc w:val="left"/>
      <w:pPr>
        <w:ind w:left="1145" w:hanging="360"/>
      </w:pPr>
    </w:lvl>
    <w:lvl w:ilvl="2" w:tplc="0409001B">
      <w:start w:val="1"/>
      <w:numFmt w:val="lowerRoman"/>
      <w:lvlText w:val="%3."/>
      <w:lvlJc w:val="right"/>
      <w:pPr>
        <w:ind w:left="1865" w:hanging="180"/>
      </w:pPr>
    </w:lvl>
    <w:lvl w:ilvl="3" w:tplc="0409000F">
      <w:start w:val="1"/>
      <w:numFmt w:val="decimal"/>
      <w:lvlText w:val="%4."/>
      <w:lvlJc w:val="left"/>
      <w:pPr>
        <w:ind w:left="2585" w:hanging="360"/>
      </w:pPr>
    </w:lvl>
    <w:lvl w:ilvl="4" w:tplc="04090019">
      <w:start w:val="1"/>
      <w:numFmt w:val="lowerLetter"/>
      <w:lvlText w:val="%5."/>
      <w:lvlJc w:val="left"/>
      <w:pPr>
        <w:ind w:left="3305" w:hanging="360"/>
      </w:pPr>
    </w:lvl>
    <w:lvl w:ilvl="5" w:tplc="0409001B">
      <w:start w:val="1"/>
      <w:numFmt w:val="lowerRoman"/>
      <w:lvlText w:val="%6."/>
      <w:lvlJc w:val="right"/>
      <w:pPr>
        <w:ind w:left="4025" w:hanging="180"/>
      </w:pPr>
    </w:lvl>
    <w:lvl w:ilvl="6" w:tplc="0409000F">
      <w:start w:val="1"/>
      <w:numFmt w:val="decimal"/>
      <w:lvlText w:val="%7."/>
      <w:lvlJc w:val="left"/>
      <w:pPr>
        <w:ind w:left="4745" w:hanging="360"/>
      </w:pPr>
    </w:lvl>
    <w:lvl w:ilvl="7" w:tplc="04090019">
      <w:start w:val="1"/>
      <w:numFmt w:val="lowerLetter"/>
      <w:lvlText w:val="%8."/>
      <w:lvlJc w:val="left"/>
      <w:pPr>
        <w:ind w:left="5465" w:hanging="360"/>
      </w:pPr>
    </w:lvl>
    <w:lvl w:ilvl="8" w:tplc="0409001B">
      <w:start w:val="1"/>
      <w:numFmt w:val="lowerRoman"/>
      <w:lvlText w:val="%9."/>
      <w:lvlJc w:val="right"/>
      <w:pPr>
        <w:ind w:left="6185" w:hanging="180"/>
      </w:pPr>
    </w:lvl>
  </w:abstractNum>
  <w:abstractNum w:abstractNumId="5" w15:restartNumberingAfterBreak="0">
    <w:nsid w:val="798A708C"/>
    <w:multiLevelType w:val="hybridMultilevel"/>
    <w:tmpl w:val="3BACB75A"/>
    <w:lvl w:ilvl="0" w:tplc="A1D052DC">
      <w:start w:val="1"/>
      <w:numFmt w:val="hebrew1"/>
      <w:lvlText w:val="%1."/>
      <w:lvlJc w:val="left"/>
      <w:pPr>
        <w:ind w:left="-66" w:hanging="360"/>
      </w:pPr>
      <w:rPr>
        <w:strike w:val="0"/>
        <w:dstrike w:val="0"/>
        <w:u w:val="none"/>
        <w:effect w:val="none"/>
      </w:rPr>
    </w:lvl>
    <w:lvl w:ilvl="1" w:tplc="04090019">
      <w:start w:val="1"/>
      <w:numFmt w:val="lowerLetter"/>
      <w:lvlText w:val="%2."/>
      <w:lvlJc w:val="left"/>
      <w:pPr>
        <w:ind w:left="654" w:hanging="360"/>
      </w:pPr>
    </w:lvl>
    <w:lvl w:ilvl="2" w:tplc="0409001B">
      <w:start w:val="1"/>
      <w:numFmt w:val="lowerRoman"/>
      <w:lvlText w:val="%3."/>
      <w:lvlJc w:val="right"/>
      <w:pPr>
        <w:ind w:left="1374" w:hanging="180"/>
      </w:pPr>
    </w:lvl>
    <w:lvl w:ilvl="3" w:tplc="0409000F">
      <w:start w:val="1"/>
      <w:numFmt w:val="decimal"/>
      <w:lvlText w:val="%4."/>
      <w:lvlJc w:val="left"/>
      <w:pPr>
        <w:ind w:left="2094" w:hanging="360"/>
      </w:pPr>
    </w:lvl>
    <w:lvl w:ilvl="4" w:tplc="04090019">
      <w:start w:val="1"/>
      <w:numFmt w:val="lowerLetter"/>
      <w:lvlText w:val="%5."/>
      <w:lvlJc w:val="left"/>
      <w:pPr>
        <w:ind w:left="2814" w:hanging="360"/>
      </w:pPr>
    </w:lvl>
    <w:lvl w:ilvl="5" w:tplc="0409001B">
      <w:start w:val="1"/>
      <w:numFmt w:val="lowerRoman"/>
      <w:lvlText w:val="%6."/>
      <w:lvlJc w:val="right"/>
      <w:pPr>
        <w:ind w:left="3534" w:hanging="180"/>
      </w:pPr>
    </w:lvl>
    <w:lvl w:ilvl="6" w:tplc="0409000F">
      <w:start w:val="1"/>
      <w:numFmt w:val="decimal"/>
      <w:lvlText w:val="%7."/>
      <w:lvlJc w:val="left"/>
      <w:pPr>
        <w:ind w:left="4254" w:hanging="360"/>
      </w:pPr>
    </w:lvl>
    <w:lvl w:ilvl="7" w:tplc="04090019">
      <w:start w:val="1"/>
      <w:numFmt w:val="lowerLetter"/>
      <w:lvlText w:val="%8."/>
      <w:lvlJc w:val="left"/>
      <w:pPr>
        <w:ind w:left="4974" w:hanging="360"/>
      </w:pPr>
    </w:lvl>
    <w:lvl w:ilvl="8" w:tplc="0409001B">
      <w:start w:val="1"/>
      <w:numFmt w:val="lowerRoman"/>
      <w:lvlText w:val="%9."/>
      <w:lvlJc w:val="right"/>
      <w:pPr>
        <w:ind w:left="569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A82"/>
    <w:rsid w:val="00091379"/>
    <w:rsid w:val="00284A82"/>
    <w:rsid w:val="002E3634"/>
    <w:rsid w:val="00464AFB"/>
    <w:rsid w:val="00506EE3"/>
    <w:rsid w:val="0058597D"/>
    <w:rsid w:val="005B29A7"/>
    <w:rsid w:val="005C2655"/>
    <w:rsid w:val="007B1396"/>
    <w:rsid w:val="007D145C"/>
    <w:rsid w:val="0086721A"/>
    <w:rsid w:val="00B94107"/>
    <w:rsid w:val="00BB6741"/>
    <w:rsid w:val="00C72FAE"/>
    <w:rsid w:val="00C9439D"/>
    <w:rsid w:val="00D11BBD"/>
    <w:rsid w:val="00D551BE"/>
    <w:rsid w:val="00F77933"/>
    <w:rsid w:val="00F902B4"/>
    <w:rsid w:val="00FF3F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FC3E992-191D-43B5-AC1D-AAF16AA1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A8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4A82"/>
    <w:pPr>
      <w:ind w:left="720"/>
      <w:contextualSpacing/>
    </w:pPr>
  </w:style>
  <w:style w:type="table" w:styleId="a4">
    <w:name w:val="Table Grid"/>
    <w:basedOn w:val="a1"/>
    <w:rsid w:val="00284A8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284A82"/>
    <w:pPr>
      <w:tabs>
        <w:tab w:val="center" w:pos="4153"/>
        <w:tab w:val="right" w:pos="8306"/>
      </w:tabs>
    </w:pPr>
  </w:style>
  <w:style w:type="character" w:customStyle="1" w:styleId="a6">
    <w:name w:val="כותרת עליונה תו"/>
    <w:basedOn w:val="a0"/>
    <w:link w:val="a5"/>
    <w:rsid w:val="00284A82"/>
    <w:rPr>
      <w:rFonts w:ascii="Times New Roman" w:eastAsia="Times New Roman" w:hAnsi="Times New Roman" w:cs="David"/>
      <w:noProof/>
      <w:sz w:val="24"/>
      <w:szCs w:val="24"/>
    </w:rPr>
  </w:style>
  <w:style w:type="paragraph" w:styleId="a7">
    <w:name w:val="footer"/>
    <w:basedOn w:val="a"/>
    <w:link w:val="a8"/>
    <w:uiPriority w:val="99"/>
    <w:unhideWhenUsed/>
    <w:rsid w:val="00284A82"/>
    <w:pPr>
      <w:tabs>
        <w:tab w:val="center" w:pos="4153"/>
        <w:tab w:val="right" w:pos="8306"/>
      </w:tabs>
    </w:pPr>
  </w:style>
  <w:style w:type="character" w:customStyle="1" w:styleId="a8">
    <w:name w:val="כותרת תחתונה תו"/>
    <w:basedOn w:val="a0"/>
    <w:link w:val="a7"/>
    <w:uiPriority w:val="99"/>
    <w:rsid w:val="00284A82"/>
    <w:rPr>
      <w:rFonts w:ascii="Times New Roman" w:eastAsia="Times New Roman" w:hAnsi="Times New Roman" w:cs="David"/>
      <w:noProof/>
      <w:sz w:val="24"/>
      <w:szCs w:val="24"/>
    </w:rPr>
  </w:style>
  <w:style w:type="character" w:styleId="a9">
    <w:name w:val="line number"/>
    <w:basedOn w:val="a0"/>
    <w:uiPriority w:val="99"/>
    <w:semiHidden/>
    <w:unhideWhenUsed/>
    <w:rsid w:val="00D551BE"/>
  </w:style>
  <w:style w:type="character" w:styleId="aa">
    <w:name w:val="Placeholder Text"/>
    <w:basedOn w:val="a0"/>
    <w:uiPriority w:val="99"/>
    <w:semiHidden/>
    <w:rsid w:val="002E3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05587">
      <w:bodyDiv w:val="1"/>
      <w:marLeft w:val="0"/>
      <w:marRight w:val="0"/>
      <w:marTop w:val="0"/>
      <w:marBottom w:val="0"/>
      <w:divBdr>
        <w:top w:val="none" w:sz="0" w:space="0" w:color="auto"/>
        <w:left w:val="none" w:sz="0" w:space="0" w:color="auto"/>
        <w:bottom w:val="none" w:sz="0" w:space="0" w:color="auto"/>
        <w:right w:val="none" w:sz="0" w:space="0" w:color="auto"/>
      </w:divBdr>
    </w:div>
    <w:div w:id="64705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39885C5D0374681BC1529EE1E74DD65"/>
        <w:category>
          <w:name w:val="כללי"/>
          <w:gallery w:val="placeholder"/>
        </w:category>
        <w:types>
          <w:type w:val="bbPlcHdr"/>
        </w:types>
        <w:behaviors>
          <w:behavior w:val="content"/>
        </w:behaviors>
        <w:guid w:val="{C606BD8D-8A2C-48F0-A597-10AC854DE712}"/>
      </w:docPartPr>
      <w:docPartBody>
        <w:p w:rsidR="006A6F96" w:rsidRDefault="00E5721B" w:rsidP="00E5721B">
          <w:pPr>
            <w:pStyle w:val="A39885C5D0374681BC1529EE1E74DD65"/>
          </w:pPr>
          <w:r>
            <w:rPr>
              <w:b/>
              <w:bCs/>
              <w:sz w:val="28"/>
              <w:rtl/>
            </w:rPr>
            <w:t>סוג זיהוי צד ב'</w:t>
          </w:r>
        </w:p>
      </w:docPartBody>
    </w:docPart>
    <w:docPart>
      <w:docPartPr>
        <w:name w:val="73564B07A5CF4B619E6CC5CF377FC70F"/>
        <w:category>
          <w:name w:val="כללי"/>
          <w:gallery w:val="placeholder"/>
        </w:category>
        <w:types>
          <w:type w:val="bbPlcHdr"/>
        </w:types>
        <w:behaviors>
          <w:behavior w:val="content"/>
        </w:behaviors>
        <w:guid w:val="{37558CBE-C22A-4520-8AA0-D1DC3431EBF6}"/>
      </w:docPartPr>
      <w:docPartBody>
        <w:p w:rsidR="006A6F96" w:rsidRDefault="00E5721B" w:rsidP="00E5721B">
          <w:pPr>
            <w:pStyle w:val="73564B07A5CF4B619E6CC5CF377FC70F"/>
          </w:pPr>
          <w:r>
            <w:rPr>
              <w:rStyle w:val="a3"/>
              <w:rtl/>
            </w:rPr>
            <w:t>לחץ כאן להזנת טקסט</w:t>
          </w:r>
          <w:r>
            <w:rPr>
              <w:rStyle w:val="a3"/>
            </w:rPr>
            <w:t>.</w:t>
          </w:r>
        </w:p>
      </w:docPartBody>
    </w:docPart>
    <w:docPart>
      <w:docPartPr>
        <w:name w:val="F4624914863F432CA5CF80134E396B94"/>
        <w:category>
          <w:name w:val="כללי"/>
          <w:gallery w:val="placeholder"/>
        </w:category>
        <w:types>
          <w:type w:val="bbPlcHdr"/>
        </w:types>
        <w:behaviors>
          <w:behavior w:val="content"/>
        </w:behaviors>
        <w:guid w:val="{FFE66231-048F-4766-9F8A-9860EA61622E}"/>
      </w:docPartPr>
      <w:docPartBody>
        <w:p w:rsidR="006A6F96" w:rsidRDefault="00E5721B" w:rsidP="00E5721B">
          <w:pPr>
            <w:pStyle w:val="F4624914863F432CA5CF80134E396B94"/>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21B"/>
    <w:rsid w:val="006A6F96"/>
    <w:rsid w:val="00E572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5F489A7786846B7AB6BB86075D0A0FE">
    <w:name w:val="E5F489A7786846B7AB6BB86075D0A0FE"/>
    <w:rsid w:val="00E5721B"/>
    <w:pPr>
      <w:bidi/>
    </w:pPr>
  </w:style>
  <w:style w:type="paragraph" w:customStyle="1" w:styleId="66F152562E6C4D07AD4E6F594EBE8F32">
    <w:name w:val="66F152562E6C4D07AD4E6F594EBE8F32"/>
    <w:rsid w:val="00E5721B"/>
    <w:pPr>
      <w:bidi/>
    </w:pPr>
  </w:style>
  <w:style w:type="paragraph" w:customStyle="1" w:styleId="A39885C5D0374681BC1529EE1E74DD65">
    <w:name w:val="A39885C5D0374681BC1529EE1E74DD65"/>
    <w:rsid w:val="00E5721B"/>
    <w:pPr>
      <w:bidi/>
    </w:pPr>
  </w:style>
  <w:style w:type="paragraph" w:customStyle="1" w:styleId="6016574982B04B5790F334DA41B3F761">
    <w:name w:val="6016574982B04B5790F334DA41B3F761"/>
    <w:rsid w:val="00E5721B"/>
    <w:pPr>
      <w:bidi/>
    </w:pPr>
  </w:style>
  <w:style w:type="character" w:styleId="a3">
    <w:name w:val="Placeholder Text"/>
    <w:basedOn w:val="a0"/>
    <w:uiPriority w:val="99"/>
    <w:semiHidden/>
    <w:rsid w:val="00E5721B"/>
  </w:style>
  <w:style w:type="paragraph" w:customStyle="1" w:styleId="73564B07A5CF4B619E6CC5CF377FC70F">
    <w:name w:val="73564B07A5CF4B619E6CC5CF377FC70F"/>
    <w:rsid w:val="00E5721B"/>
    <w:pPr>
      <w:bidi/>
    </w:pPr>
  </w:style>
  <w:style w:type="paragraph" w:customStyle="1" w:styleId="F4624914863F432CA5CF80134E396B94">
    <w:name w:val="F4624914863F432CA5CF80134E396B94"/>
    <w:rsid w:val="00E5721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5008</Words>
  <Characters>25041</Characters>
  <Application>Microsoft Office Word</Application>
  <DocSecurity>4</DocSecurity>
  <Lines>208</Lines>
  <Paragraphs>59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 גריזים</dc:creator>
  <cp:keywords/>
  <dc:description/>
  <cp:lastModifiedBy>גרמאו מנגיסטו</cp:lastModifiedBy>
  <cp:revision>2</cp:revision>
  <dcterms:created xsi:type="dcterms:W3CDTF">2023-11-29T08:04:00Z</dcterms:created>
  <dcterms:modified xsi:type="dcterms:W3CDTF">2023-11-29T08:04:00Z</dcterms:modified>
</cp:coreProperties>
</file>